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2365DEE5"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 USLOVI</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881387"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13387CFB" w14:textId="06A47F67" w:rsidR="007C5E06" w:rsidRPr="00526101" w:rsidRDefault="0020380E" w:rsidP="007C5E06">
            <w:pPr>
              <w:jc w:val="both"/>
              <w:rPr>
                <w:rFonts w:ascii="Arial" w:hAnsi="Arial" w:cs="Arial"/>
                <w:sz w:val="22"/>
                <w:szCs w:val="22"/>
              </w:rPr>
            </w:pPr>
            <w:r w:rsidRPr="00526101">
              <w:rPr>
                <w:rFonts w:ascii="Arial" w:hAnsi="Arial" w:cs="Arial"/>
                <w:b/>
                <w:sz w:val="22"/>
                <w:szCs w:val="22"/>
              </w:rPr>
              <w:t>JAVNO PREDUZEĆE ZA UPRAVLJANJE MORSKIM DOBROM CRNE GORE - BUDVA</w:t>
            </w:r>
            <w:r w:rsidRPr="00526101">
              <w:rPr>
                <w:rFonts w:ascii="Arial" w:hAnsi="Arial" w:cs="Arial"/>
                <w:bCs/>
                <w:sz w:val="22"/>
                <w:szCs w:val="22"/>
              </w:rPr>
              <w:t xml:space="preserve"> </w:t>
            </w:r>
            <w:r w:rsidR="007C5E06" w:rsidRPr="007C5E06">
              <w:rPr>
                <w:rFonts w:ascii="Arial" w:hAnsi="Arial" w:cs="Arial"/>
                <w:bCs/>
                <w:sz w:val="22"/>
                <w:szCs w:val="22"/>
              </w:rPr>
              <w:t xml:space="preserve">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w:t>
            </w:r>
            <w:r w:rsidR="0001491F" w:rsidRPr="0001491F">
              <w:rPr>
                <w:rFonts w:ascii="Arial" w:hAnsi="Arial" w:cs="Arial"/>
                <w:bCs/>
                <w:sz w:val="22"/>
                <w:szCs w:val="22"/>
              </w:rPr>
              <w:t>04-332/25-86/36 od 12.02.2025</w:t>
            </w:r>
            <w:r w:rsidR="0001491F">
              <w:rPr>
                <w:rFonts w:ascii="Arial" w:hAnsi="Arial" w:cs="Arial"/>
                <w:bCs/>
                <w:sz w:val="22"/>
                <w:szCs w:val="22"/>
              </w:rPr>
              <w:t>.</w:t>
            </w:r>
            <w:r w:rsidR="007C5E06" w:rsidRPr="007C5E06">
              <w:rPr>
                <w:rFonts w:ascii="Arial" w:hAnsi="Arial" w:cs="Arial"/>
                <w:bCs/>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p w14:paraId="335EE24A" w14:textId="0F879DE7" w:rsidR="00727CDC" w:rsidRPr="00526101" w:rsidRDefault="00727CDC" w:rsidP="00526101">
            <w:pPr>
              <w:tabs>
                <w:tab w:val="left" w:pos="6915"/>
              </w:tabs>
              <w:jc w:val="both"/>
              <w:rPr>
                <w:rFonts w:ascii="Arial" w:hAnsi="Arial" w:cs="Arial"/>
                <w:sz w:val="22"/>
                <w:szCs w:val="22"/>
              </w:rPr>
            </w:pP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543D30FE"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725786">
              <w:rPr>
                <w:rFonts w:ascii="Arial" w:hAnsi="Arial" w:cs="Arial"/>
                <w:b/>
                <w:bCs/>
                <w:sz w:val="22"/>
                <w:szCs w:val="22"/>
              </w:rPr>
              <w:t>13C</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F9381D">
              <w:rPr>
                <w:rFonts w:ascii="Arial" w:hAnsi="Arial" w:cs="Arial"/>
                <w:sz w:val="22"/>
                <w:szCs w:val="22"/>
              </w:rPr>
              <w:t>B</w:t>
            </w:r>
            <w:r w:rsidR="00725786">
              <w:rPr>
                <w:rFonts w:ascii="Arial" w:hAnsi="Arial" w:cs="Arial"/>
                <w:sz w:val="22"/>
                <w:szCs w:val="22"/>
              </w:rPr>
              <w:t>ar</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Ba</w:t>
            </w:r>
            <w:r w:rsidR="00725786">
              <w:rPr>
                <w:rFonts w:ascii="Arial" w:hAnsi="Arial" w:cs="Arial"/>
                <w:sz w:val="22"/>
                <w:szCs w:val="22"/>
              </w:rPr>
              <w:t>r</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3B4F1949"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725786">
              <w:rPr>
                <w:rFonts w:ascii="Arial" w:hAnsi="Arial" w:cs="Arial"/>
                <w:sz w:val="22"/>
                <w:szCs w:val="22"/>
              </w:rPr>
              <w:t>13C</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3CB0474E">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378AA5CC"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w:t>
            </w:r>
            <w:r w:rsidR="00725786">
              <w:rPr>
                <w:rFonts w:ascii="Arial" w:hAnsi="Arial" w:cs="Arial"/>
                <w:sz w:val="22"/>
                <w:szCs w:val="22"/>
              </w:rPr>
              <w:t>at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218F7E3C" w14:textId="77777777" w:rsidR="00265CD3" w:rsidRPr="00526101" w:rsidRDefault="00265CD3" w:rsidP="000C6DC9">
            <w:pPr>
              <w:overflowPunct w:val="0"/>
              <w:autoSpaceDE w:val="0"/>
              <w:autoSpaceDN w:val="0"/>
              <w:adjustRightInd w:val="0"/>
              <w:jc w:val="both"/>
              <w:textAlignment w:val="baseline"/>
              <w:rPr>
                <w:rFonts w:ascii="Arial" w:hAnsi="Arial" w:cs="Arial"/>
                <w:b/>
                <w:sz w:val="22"/>
                <w:szCs w:val="22"/>
              </w:rPr>
            </w:pP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1312" behindDoc="0" locked="0" layoutInCell="1" allowOverlap="1" wp14:anchorId="335EE332" wp14:editId="00C5BB54">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74A88BD4" w14:textId="77777777" w:rsidR="00BD68AD" w:rsidRDefault="00BD68AD" w:rsidP="000C6DC9">
            <w:pPr>
              <w:suppressAutoHyphens/>
              <w:jc w:val="both"/>
              <w:rPr>
                <w:rFonts w:ascii="Arial" w:hAnsi="Arial" w:cs="Arial"/>
                <w:sz w:val="22"/>
                <w:szCs w:val="22"/>
              </w:rPr>
            </w:pPr>
          </w:p>
          <w:p w14:paraId="5A76F681" w14:textId="77777777" w:rsidR="00BD68AD" w:rsidRPr="00526101" w:rsidRDefault="00BD68A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074CB947"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725786">
              <w:rPr>
                <w:rFonts w:ascii="Arial" w:hAnsi="Arial" w:cs="Arial"/>
                <w:b/>
                <w:bCs/>
                <w:sz w:val="22"/>
                <w:szCs w:val="22"/>
              </w:rPr>
              <w:t>13C</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631702">
              <w:rPr>
                <w:rFonts w:ascii="Arial" w:hAnsi="Arial" w:cs="Arial"/>
                <w:b/>
                <w:bCs/>
                <w:sz w:val="22"/>
                <w:szCs w:val="22"/>
                <w:lang w:val="en-US"/>
              </w:rPr>
              <w:t>k</w:t>
            </w:r>
            <w:r w:rsidR="007D255F" w:rsidRPr="00631702">
              <w:rPr>
                <w:rFonts w:ascii="Arial" w:hAnsi="Arial" w:cs="Arial"/>
                <w:b/>
                <w:bCs/>
                <w:sz w:val="22"/>
                <w:szCs w:val="22"/>
                <w:lang w:val="en-US"/>
              </w:rPr>
              <w:t>at.</w:t>
            </w:r>
            <w:r w:rsidR="009000DD" w:rsidRPr="00631702">
              <w:rPr>
                <w:rFonts w:ascii="Arial" w:hAnsi="Arial" w:cs="Arial"/>
                <w:b/>
                <w:bCs/>
                <w:sz w:val="22"/>
                <w:szCs w:val="22"/>
                <w:lang w:val="en-US"/>
              </w:rPr>
              <w:t>p</w:t>
            </w:r>
            <w:r w:rsidR="007D255F" w:rsidRPr="00631702">
              <w:rPr>
                <w:rFonts w:ascii="Arial" w:hAnsi="Arial" w:cs="Arial"/>
                <w:b/>
                <w:bCs/>
                <w:sz w:val="22"/>
                <w:szCs w:val="22"/>
                <w:lang w:val="en-US"/>
              </w:rPr>
              <w:t>arceli</w:t>
            </w:r>
            <w:proofErr w:type="spellEnd"/>
            <w:r w:rsidR="009000DD" w:rsidRPr="00631702">
              <w:rPr>
                <w:rFonts w:ascii="Arial" w:hAnsi="Arial" w:cs="Arial"/>
                <w:b/>
                <w:bCs/>
                <w:sz w:val="22"/>
                <w:szCs w:val="22"/>
                <w:lang w:val="en-US"/>
              </w:rPr>
              <w:t xml:space="preserve"> </w:t>
            </w:r>
            <w:r w:rsidR="00725786" w:rsidRPr="00631702">
              <w:rPr>
                <w:rFonts w:ascii="Arial" w:hAnsi="Arial" w:cs="Arial"/>
                <w:b/>
                <w:bCs/>
                <w:sz w:val="22"/>
                <w:szCs w:val="22"/>
                <w:lang w:val="en-US"/>
              </w:rPr>
              <w:t>4292/1</w:t>
            </w:r>
            <w:r w:rsidR="009000DD" w:rsidRPr="00631702">
              <w:rPr>
                <w:rFonts w:ascii="Arial" w:hAnsi="Arial" w:cs="Arial"/>
                <w:b/>
                <w:bCs/>
                <w:sz w:val="22"/>
                <w:szCs w:val="22"/>
                <w:lang w:val="en-US"/>
              </w:rPr>
              <w:t xml:space="preserve"> KO </w:t>
            </w:r>
            <w:proofErr w:type="spellStart"/>
            <w:r w:rsidR="00725786" w:rsidRPr="00631702">
              <w:rPr>
                <w:rFonts w:ascii="Arial" w:hAnsi="Arial" w:cs="Arial"/>
                <w:b/>
                <w:bCs/>
                <w:sz w:val="22"/>
                <w:szCs w:val="22"/>
                <w:lang w:val="en-US"/>
              </w:rPr>
              <w:t>Kunje</w:t>
            </w:r>
            <w:proofErr w:type="spellEnd"/>
            <w:r w:rsidR="00E748E6" w:rsidRPr="00631702">
              <w:rPr>
                <w:rFonts w:ascii="Arial" w:hAnsi="Arial" w:cs="Arial"/>
                <w:b/>
                <w:bCs/>
                <w:sz w:val="22"/>
                <w:szCs w:val="22"/>
                <w:lang w:val="en-US"/>
              </w:rPr>
              <w:t xml:space="preserve">, </w:t>
            </w:r>
            <w:proofErr w:type="spellStart"/>
            <w:r w:rsidR="00E748E6" w:rsidRPr="00631702">
              <w:rPr>
                <w:rFonts w:ascii="Arial" w:hAnsi="Arial" w:cs="Arial"/>
                <w:b/>
                <w:bCs/>
                <w:sz w:val="22"/>
                <w:szCs w:val="22"/>
                <w:lang w:val="en-US"/>
              </w:rPr>
              <w:t>opština</w:t>
            </w:r>
            <w:proofErr w:type="spellEnd"/>
            <w:r w:rsidR="00E748E6" w:rsidRPr="00631702">
              <w:rPr>
                <w:rFonts w:ascii="Arial" w:hAnsi="Arial" w:cs="Arial"/>
                <w:b/>
                <w:bCs/>
                <w:sz w:val="22"/>
                <w:szCs w:val="22"/>
                <w:lang w:val="en-US"/>
              </w:rPr>
              <w:t xml:space="preserve"> </w:t>
            </w:r>
            <w:r w:rsidR="00FF03F2" w:rsidRPr="00631702">
              <w:rPr>
                <w:rFonts w:ascii="Arial" w:hAnsi="Arial" w:cs="Arial"/>
                <w:b/>
                <w:bCs/>
                <w:sz w:val="22"/>
                <w:szCs w:val="22"/>
                <w:lang w:val="en-US"/>
              </w:rPr>
              <w:t>B</w:t>
            </w:r>
            <w:r w:rsidR="00725786" w:rsidRPr="00631702">
              <w:rPr>
                <w:rFonts w:ascii="Arial" w:hAnsi="Arial" w:cs="Arial"/>
                <w:b/>
                <w:bCs/>
                <w:sz w:val="22"/>
                <w:szCs w:val="22"/>
                <w:lang w:val="en-US"/>
              </w:rPr>
              <w:t>ar</w:t>
            </w:r>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5AA0A931"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Tehničkom dokumentacijom predvidjeti uslove i mjere za zaštitu životne sredine u skladu sa odredbama Zakona o procjeni uticaja na životnu sredinu („Službeni list CG“, br.80/05, 40/10, 73/10, 40/11, 27/13 i 52/16</w:t>
            </w:r>
            <w:r w:rsidR="00A83DE9">
              <w:rPr>
                <w:rFonts w:ascii="Arial" w:hAnsi="Arial" w:cs="Arial"/>
                <w:sz w:val="22"/>
                <w:szCs w:val="22"/>
              </w:rPr>
              <w:t xml:space="preserve"> </w:t>
            </w:r>
            <w:r w:rsidR="00A83DE9" w:rsidRPr="00A83DE9">
              <w:rPr>
                <w:rFonts w:ascii="Arial" w:hAnsi="Arial" w:cs="Arial"/>
                <w:sz w:val="22"/>
                <w:szCs w:val="22"/>
              </w:rPr>
              <w:t>od 15.08.2016, 018/19 od 22.03.2019</w:t>
            </w:r>
            <w:r w:rsidRPr="00526101">
              <w:rPr>
                <w:rFonts w:ascii="Arial" w:hAnsi="Arial" w:cs="Arial"/>
                <w:sz w:val="22"/>
                <w:szCs w:val="22"/>
              </w:rPr>
              <w:t>) i Zakonom za zaštitu prirode („Službeni list CG“, br.54/16)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5E5208C1" w14:textId="5C7134A2" w:rsidR="00C13853" w:rsidRPr="00526101" w:rsidRDefault="00DA4C5B" w:rsidP="00DA4C5B">
            <w:pPr>
              <w:tabs>
                <w:tab w:val="left" w:pos="6915"/>
              </w:tabs>
              <w:rPr>
                <w:rFonts w:ascii="Arial" w:hAnsi="Arial" w:cs="Arial"/>
                <w:b/>
                <w:bCs/>
                <w:sz w:val="22"/>
                <w:szCs w:val="22"/>
              </w:rPr>
            </w:pPr>
            <w:r w:rsidRPr="00526101">
              <w:rPr>
                <w:rFonts w:ascii="Arial" w:hAnsi="Arial" w:cs="Arial"/>
                <w:sz w:val="22"/>
                <w:szCs w:val="22"/>
              </w:rPr>
              <w:t>•Tehnička preporuka TP-1b - Distributivna transformatorska stanica   DTS – EPCG 10/0.4 Kv</w:t>
            </w: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54D84202"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 54/16</w:t>
            </w:r>
            <w:r w:rsidR="00A83DE9">
              <w:rPr>
                <w:rFonts w:ascii="Arial" w:hAnsi="Arial" w:cs="Arial"/>
                <w:b/>
                <w:sz w:val="22"/>
                <w:szCs w:val="22"/>
                <w:lang w:val="sr-Latn-CS" w:eastAsia="ar-SA"/>
              </w:rPr>
              <w:t xml:space="preserve"> </w:t>
            </w:r>
            <w:r w:rsidR="00A83DE9" w:rsidRPr="00A83DE9">
              <w:rPr>
                <w:rFonts w:ascii="Arial" w:hAnsi="Arial" w:cs="Arial"/>
                <w:b/>
                <w:sz w:val="22"/>
                <w:szCs w:val="22"/>
                <w:lang w:val="sr-Latn-CS" w:eastAsia="ar-SA"/>
              </w:rPr>
              <w:t>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0BBA2FBA"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50F4C500" w:rsidR="00727CDC" w:rsidRPr="00526101" w:rsidRDefault="00F63CEB" w:rsidP="005053D0">
            <w:pPr>
              <w:tabs>
                <w:tab w:val="left" w:pos="6915"/>
              </w:tabs>
              <w:rPr>
                <w:rFonts w:ascii="Arial" w:hAnsi="Arial" w:cs="Arial"/>
                <w:b/>
                <w:bCs/>
                <w:sz w:val="22"/>
                <w:szCs w:val="22"/>
              </w:rPr>
            </w:pPr>
            <w:r>
              <w:rPr>
                <w:rFonts w:ascii="Arial" w:hAnsi="Arial" w:cs="Arial"/>
                <w:b/>
                <w:bCs/>
                <w:sz w:val="22"/>
                <w:szCs w:val="22"/>
              </w:rPr>
              <w:t xml:space="preserve">VD RUKOVODILAC </w:t>
            </w:r>
            <w:r w:rsidR="00B169E7" w:rsidRPr="00526101">
              <w:rPr>
                <w:rFonts w:ascii="Arial" w:hAnsi="Arial" w:cs="Arial"/>
                <w:b/>
                <w:bCs/>
                <w:sz w:val="22"/>
                <w:szCs w:val="22"/>
              </w:rPr>
              <w:t>SLUŽBE ZA UREĐENJE I IZGRADNJU</w:t>
            </w:r>
            <w:r w:rsidR="008B089E" w:rsidRPr="00526101">
              <w:rPr>
                <w:rFonts w:ascii="Arial" w:hAnsi="Arial" w:cs="Arial"/>
                <w:b/>
                <w:bCs/>
                <w:sz w:val="22"/>
                <w:szCs w:val="22"/>
              </w:rPr>
              <w:t>:</w:t>
            </w:r>
          </w:p>
        </w:tc>
        <w:tc>
          <w:tcPr>
            <w:tcW w:w="4138" w:type="dxa"/>
            <w:gridSpan w:val="2"/>
            <w:noWrap/>
            <w:hideMark/>
          </w:tcPr>
          <w:p w14:paraId="335EE30D" w14:textId="6FB8484A"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C7F73" w14:textId="77777777" w:rsidR="00121571" w:rsidRDefault="00121571" w:rsidP="0016116A">
      <w:pPr>
        <w:spacing w:after="0" w:line="240" w:lineRule="auto"/>
      </w:pPr>
      <w:r>
        <w:separator/>
      </w:r>
    </w:p>
  </w:endnote>
  <w:endnote w:type="continuationSeparator" w:id="0">
    <w:p w14:paraId="778B4B2B" w14:textId="77777777" w:rsidR="00121571" w:rsidRDefault="00121571"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A602D" w14:textId="77777777" w:rsidR="00121571" w:rsidRDefault="00121571" w:rsidP="0016116A">
      <w:pPr>
        <w:spacing w:after="0" w:line="240" w:lineRule="auto"/>
      </w:pPr>
      <w:r>
        <w:separator/>
      </w:r>
    </w:p>
  </w:footnote>
  <w:footnote w:type="continuationSeparator" w:id="0">
    <w:p w14:paraId="51CCA88F" w14:textId="77777777" w:rsidR="00121571" w:rsidRDefault="00121571"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491F"/>
    <w:rsid w:val="00015062"/>
    <w:rsid w:val="000165BF"/>
    <w:rsid w:val="0002381A"/>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1571"/>
    <w:rsid w:val="00125663"/>
    <w:rsid w:val="00134557"/>
    <w:rsid w:val="001347FB"/>
    <w:rsid w:val="0013594D"/>
    <w:rsid w:val="00142C45"/>
    <w:rsid w:val="0016116A"/>
    <w:rsid w:val="00184B10"/>
    <w:rsid w:val="00185344"/>
    <w:rsid w:val="00194A29"/>
    <w:rsid w:val="0019653F"/>
    <w:rsid w:val="001A099B"/>
    <w:rsid w:val="001A189D"/>
    <w:rsid w:val="001A61E9"/>
    <w:rsid w:val="001D0CD8"/>
    <w:rsid w:val="001D7599"/>
    <w:rsid w:val="001E5F4F"/>
    <w:rsid w:val="001F6D4F"/>
    <w:rsid w:val="0020380E"/>
    <w:rsid w:val="002046B0"/>
    <w:rsid w:val="002122EA"/>
    <w:rsid w:val="002156BF"/>
    <w:rsid w:val="00224BF6"/>
    <w:rsid w:val="00226FB5"/>
    <w:rsid w:val="00232131"/>
    <w:rsid w:val="00233C53"/>
    <w:rsid w:val="00236339"/>
    <w:rsid w:val="00236CAB"/>
    <w:rsid w:val="002372B5"/>
    <w:rsid w:val="002377DE"/>
    <w:rsid w:val="0024505B"/>
    <w:rsid w:val="00255935"/>
    <w:rsid w:val="00260C25"/>
    <w:rsid w:val="00265AD8"/>
    <w:rsid w:val="00265CD3"/>
    <w:rsid w:val="002669FD"/>
    <w:rsid w:val="0027626E"/>
    <w:rsid w:val="00277DD3"/>
    <w:rsid w:val="00283C87"/>
    <w:rsid w:val="00286F51"/>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1462C"/>
    <w:rsid w:val="003277D9"/>
    <w:rsid w:val="00345551"/>
    <w:rsid w:val="003610B5"/>
    <w:rsid w:val="003734F9"/>
    <w:rsid w:val="003770BA"/>
    <w:rsid w:val="00377CC8"/>
    <w:rsid w:val="003857D4"/>
    <w:rsid w:val="00392A78"/>
    <w:rsid w:val="003B5350"/>
    <w:rsid w:val="003B6242"/>
    <w:rsid w:val="003C767C"/>
    <w:rsid w:val="003E648F"/>
    <w:rsid w:val="003F0952"/>
    <w:rsid w:val="003F7653"/>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0C4"/>
    <w:rsid w:val="00526101"/>
    <w:rsid w:val="0052681D"/>
    <w:rsid w:val="00530127"/>
    <w:rsid w:val="00537B52"/>
    <w:rsid w:val="0055402A"/>
    <w:rsid w:val="00565D22"/>
    <w:rsid w:val="005821A1"/>
    <w:rsid w:val="005927F6"/>
    <w:rsid w:val="005A5F0F"/>
    <w:rsid w:val="005B1D64"/>
    <w:rsid w:val="005B3B83"/>
    <w:rsid w:val="005B5E10"/>
    <w:rsid w:val="005B6A81"/>
    <w:rsid w:val="005C0561"/>
    <w:rsid w:val="005C116F"/>
    <w:rsid w:val="005C3996"/>
    <w:rsid w:val="005D2DD2"/>
    <w:rsid w:val="005F3791"/>
    <w:rsid w:val="005F49B8"/>
    <w:rsid w:val="00605A14"/>
    <w:rsid w:val="00614670"/>
    <w:rsid w:val="00624B84"/>
    <w:rsid w:val="00631702"/>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5786"/>
    <w:rsid w:val="00727CDC"/>
    <w:rsid w:val="0073095C"/>
    <w:rsid w:val="00740D2A"/>
    <w:rsid w:val="00743DAA"/>
    <w:rsid w:val="00753FA7"/>
    <w:rsid w:val="00756235"/>
    <w:rsid w:val="007862DA"/>
    <w:rsid w:val="0078667A"/>
    <w:rsid w:val="007929BD"/>
    <w:rsid w:val="00796565"/>
    <w:rsid w:val="007A4487"/>
    <w:rsid w:val="007A7269"/>
    <w:rsid w:val="007B3552"/>
    <w:rsid w:val="007B579B"/>
    <w:rsid w:val="007B57AD"/>
    <w:rsid w:val="007C103A"/>
    <w:rsid w:val="007C15E8"/>
    <w:rsid w:val="007C5E06"/>
    <w:rsid w:val="007D24C8"/>
    <w:rsid w:val="007D255F"/>
    <w:rsid w:val="007D67CB"/>
    <w:rsid w:val="007D762A"/>
    <w:rsid w:val="007E01CA"/>
    <w:rsid w:val="007F5902"/>
    <w:rsid w:val="008220DE"/>
    <w:rsid w:val="00835348"/>
    <w:rsid w:val="00835481"/>
    <w:rsid w:val="008357A8"/>
    <w:rsid w:val="008374D5"/>
    <w:rsid w:val="00842010"/>
    <w:rsid w:val="00847BF5"/>
    <w:rsid w:val="00852379"/>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299F"/>
    <w:rsid w:val="009234D4"/>
    <w:rsid w:val="00940854"/>
    <w:rsid w:val="00941B99"/>
    <w:rsid w:val="009711AF"/>
    <w:rsid w:val="009A5003"/>
    <w:rsid w:val="009B447C"/>
    <w:rsid w:val="009B6699"/>
    <w:rsid w:val="009C497B"/>
    <w:rsid w:val="009D0BE9"/>
    <w:rsid w:val="009E328D"/>
    <w:rsid w:val="009E4CB8"/>
    <w:rsid w:val="00A078E7"/>
    <w:rsid w:val="00A21EB3"/>
    <w:rsid w:val="00A22429"/>
    <w:rsid w:val="00A31AA8"/>
    <w:rsid w:val="00A34140"/>
    <w:rsid w:val="00A36C48"/>
    <w:rsid w:val="00A700A1"/>
    <w:rsid w:val="00A71435"/>
    <w:rsid w:val="00A837FC"/>
    <w:rsid w:val="00A83A97"/>
    <w:rsid w:val="00A83DE9"/>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05B0"/>
    <w:rsid w:val="00B45EC2"/>
    <w:rsid w:val="00B468BE"/>
    <w:rsid w:val="00B4797A"/>
    <w:rsid w:val="00B509D3"/>
    <w:rsid w:val="00B51237"/>
    <w:rsid w:val="00B51F00"/>
    <w:rsid w:val="00B53911"/>
    <w:rsid w:val="00B5647F"/>
    <w:rsid w:val="00B5654F"/>
    <w:rsid w:val="00B6577E"/>
    <w:rsid w:val="00B72474"/>
    <w:rsid w:val="00B73041"/>
    <w:rsid w:val="00B73B5E"/>
    <w:rsid w:val="00B90321"/>
    <w:rsid w:val="00B9537D"/>
    <w:rsid w:val="00BA4143"/>
    <w:rsid w:val="00BB2ACE"/>
    <w:rsid w:val="00BD68AD"/>
    <w:rsid w:val="00BE68C1"/>
    <w:rsid w:val="00BF14CC"/>
    <w:rsid w:val="00C067DF"/>
    <w:rsid w:val="00C129DF"/>
    <w:rsid w:val="00C13853"/>
    <w:rsid w:val="00C20394"/>
    <w:rsid w:val="00C31A79"/>
    <w:rsid w:val="00C32740"/>
    <w:rsid w:val="00C3585C"/>
    <w:rsid w:val="00C530D0"/>
    <w:rsid w:val="00C60527"/>
    <w:rsid w:val="00C63CE2"/>
    <w:rsid w:val="00C64546"/>
    <w:rsid w:val="00C65E37"/>
    <w:rsid w:val="00C664AB"/>
    <w:rsid w:val="00C7478B"/>
    <w:rsid w:val="00C80838"/>
    <w:rsid w:val="00C97100"/>
    <w:rsid w:val="00CA1BD2"/>
    <w:rsid w:val="00CA292F"/>
    <w:rsid w:val="00CA29B5"/>
    <w:rsid w:val="00CA789C"/>
    <w:rsid w:val="00CB6B6B"/>
    <w:rsid w:val="00CD2754"/>
    <w:rsid w:val="00D02CE4"/>
    <w:rsid w:val="00D2210A"/>
    <w:rsid w:val="00D251D8"/>
    <w:rsid w:val="00D3265C"/>
    <w:rsid w:val="00D37A30"/>
    <w:rsid w:val="00D40E4C"/>
    <w:rsid w:val="00D450FD"/>
    <w:rsid w:val="00D4646C"/>
    <w:rsid w:val="00D5511F"/>
    <w:rsid w:val="00D552AD"/>
    <w:rsid w:val="00D60936"/>
    <w:rsid w:val="00D82D12"/>
    <w:rsid w:val="00D8675A"/>
    <w:rsid w:val="00D90125"/>
    <w:rsid w:val="00DA4C5B"/>
    <w:rsid w:val="00DB032D"/>
    <w:rsid w:val="00DB2CDF"/>
    <w:rsid w:val="00DB347E"/>
    <w:rsid w:val="00DB44FD"/>
    <w:rsid w:val="00DC0ACF"/>
    <w:rsid w:val="00DD00C8"/>
    <w:rsid w:val="00DD7E0D"/>
    <w:rsid w:val="00DE048B"/>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3CEB"/>
    <w:rsid w:val="00F6565C"/>
    <w:rsid w:val="00F776A5"/>
    <w:rsid w:val="00F84A14"/>
    <w:rsid w:val="00F8736A"/>
    <w:rsid w:val="00F9150D"/>
    <w:rsid w:val="00F9381D"/>
    <w:rsid w:val="00F939A8"/>
    <w:rsid w:val="00F9610E"/>
    <w:rsid w:val="00F96AB1"/>
    <w:rsid w:val="00FC1688"/>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44085977">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2429</Words>
  <Characters>13850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8</cp:revision>
  <cp:lastPrinted>2019-04-19T08:33:00Z</cp:lastPrinted>
  <dcterms:created xsi:type="dcterms:W3CDTF">2025-01-16T08:29:00Z</dcterms:created>
  <dcterms:modified xsi:type="dcterms:W3CDTF">2025-02-12T15:03:00Z</dcterms:modified>
</cp:coreProperties>
</file>