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592446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41555F">
        <w:rPr>
          <w:rFonts w:ascii="Arial" w:eastAsia="Calibri" w:hAnsi="Arial" w:cs="Arial"/>
          <w:b/>
          <w:sz w:val="28"/>
          <w:szCs w:val="28"/>
        </w:rPr>
        <w:t>H</w:t>
      </w:r>
      <w:r w:rsidR="00743DAA" w:rsidRPr="00526101">
        <w:rPr>
          <w:rFonts w:ascii="Arial" w:eastAsia="Calibri" w:hAnsi="Arial" w:cs="Arial"/>
          <w:b/>
          <w:sz w:val="28"/>
          <w:szCs w:val="28"/>
        </w:rPr>
        <w:t xml:space="preserve"> USLOV</w:t>
      </w:r>
      <w:r w:rsidR="0041555F">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3652"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68DBCE04" w:rsidR="00727CDC" w:rsidRPr="00526101" w:rsidRDefault="00702A52"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AD3FE3" w:rsidRPr="00AD3FE3">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775693D4"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39110A">
              <w:rPr>
                <w:rFonts w:ascii="Arial" w:hAnsi="Arial" w:cs="Arial"/>
                <w:b/>
                <w:bCs/>
                <w:sz w:val="22"/>
                <w:szCs w:val="22"/>
              </w:rPr>
              <w:t>22C</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AD3FE3">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41555F">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DCF45CC"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39110A" w:rsidRPr="005B62B9">
              <w:rPr>
                <w:rFonts w:ascii="Arial" w:hAnsi="Arial" w:cs="Arial"/>
                <w:b/>
                <w:bCs/>
                <w:sz w:val="22"/>
                <w:szCs w:val="22"/>
              </w:rPr>
              <w:t>22C</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430D173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A" w14:textId="77777777" w:rsidR="00FF03F2" w:rsidRDefault="00FF03F2" w:rsidP="000C6DC9">
            <w:pPr>
              <w:suppressAutoHyphens/>
              <w:overflowPunct w:val="0"/>
              <w:autoSpaceDE w:val="0"/>
              <w:autoSpaceDN w:val="0"/>
              <w:adjustRightInd w:val="0"/>
              <w:jc w:val="both"/>
              <w:textAlignment w:val="baseline"/>
              <w:rPr>
                <w:rFonts w:ascii="Arial" w:hAnsi="Arial" w:cs="Arial"/>
                <w:b/>
                <w:sz w:val="22"/>
                <w:szCs w:val="22"/>
              </w:rPr>
            </w:pPr>
          </w:p>
          <w:p w14:paraId="4D48D6AD" w14:textId="77777777" w:rsidR="0041555F" w:rsidRDefault="0041555F" w:rsidP="000C6DC9">
            <w:pPr>
              <w:suppressAutoHyphens/>
              <w:overflowPunct w:val="0"/>
              <w:autoSpaceDE w:val="0"/>
              <w:autoSpaceDN w:val="0"/>
              <w:adjustRightInd w:val="0"/>
              <w:jc w:val="both"/>
              <w:textAlignment w:val="baseline"/>
              <w:rPr>
                <w:rFonts w:ascii="Arial" w:hAnsi="Arial" w:cs="Arial"/>
                <w:b/>
                <w:sz w:val="22"/>
                <w:szCs w:val="22"/>
              </w:rPr>
            </w:pPr>
          </w:p>
          <w:p w14:paraId="5664F5E7" w14:textId="77777777" w:rsidR="0041555F" w:rsidRDefault="0041555F" w:rsidP="000C6DC9">
            <w:pPr>
              <w:suppressAutoHyphens/>
              <w:overflowPunct w:val="0"/>
              <w:autoSpaceDE w:val="0"/>
              <w:autoSpaceDN w:val="0"/>
              <w:adjustRightInd w:val="0"/>
              <w:jc w:val="both"/>
              <w:textAlignment w:val="baseline"/>
              <w:rPr>
                <w:rFonts w:ascii="Arial" w:hAnsi="Arial" w:cs="Arial"/>
                <w:b/>
                <w:sz w:val="22"/>
                <w:szCs w:val="22"/>
              </w:rPr>
            </w:pPr>
          </w:p>
          <w:p w14:paraId="3339D97D" w14:textId="77777777" w:rsidR="0041555F" w:rsidRPr="00526101" w:rsidRDefault="0041555F"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8" w14:textId="77777777" w:rsidR="00FF03F2" w:rsidRPr="00526101" w:rsidRDefault="00FF03F2" w:rsidP="00FF03F2">
            <w:pPr>
              <w:rPr>
                <w:rFonts w:ascii="Arial" w:hAnsi="Arial" w:cs="Arial"/>
                <w:sz w:val="22"/>
                <w:szCs w:val="22"/>
              </w:rPr>
            </w:pPr>
          </w:p>
          <w:p w14:paraId="4DBBEC75" w14:textId="1C7EA9D3" w:rsidR="0041555F" w:rsidRPr="00526101" w:rsidRDefault="005271E3" w:rsidP="005B62B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61D9BDA3">
                  <wp:simplePos x="0" y="0"/>
                  <wp:positionH relativeFrom="column">
                    <wp:posOffset>3684905</wp:posOffset>
                  </wp:positionH>
                  <wp:positionV relativeFrom="paragraph">
                    <wp:posOffset>8255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555F"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Navedena oprema i uređaji se, za razliku od montažno-demontažnih objekata, nakon završetka sezone uklanjaju sa kupališta;</w:t>
            </w:r>
          </w:p>
          <w:p w14:paraId="3D6B1594" w14:textId="067374A8" w:rsidR="0041555F" w:rsidRPr="00526101" w:rsidRDefault="0041555F" w:rsidP="005B62B9">
            <w:pPr>
              <w:jc w:val="both"/>
              <w:rPr>
                <w:rFonts w:ascii="Arial" w:hAnsi="Arial" w:cs="Arial"/>
                <w:sz w:val="22"/>
                <w:szCs w:val="22"/>
              </w:rPr>
            </w:pPr>
          </w:p>
          <w:p w14:paraId="502796C5" w14:textId="306B0E58" w:rsidR="0041555F" w:rsidRPr="002F45A6" w:rsidRDefault="0041555F" w:rsidP="005B62B9">
            <w:pPr>
              <w:jc w:val="both"/>
              <w:rPr>
                <w:rFonts w:ascii="Arial" w:hAnsi="Arial" w:cs="Arial"/>
                <w:sz w:val="22"/>
                <w:szCs w:val="22"/>
              </w:rPr>
            </w:pPr>
            <w:r w:rsidRPr="002F45A6">
              <w:rPr>
                <w:rFonts w:ascii="Arial" w:hAnsi="Arial" w:cs="Arial"/>
                <w:sz w:val="22"/>
                <w:szCs w:val="22"/>
              </w:rPr>
              <w:t>Za kabine za presvlačenje je obezbijediti adekvatnu lokaciju i raspored u okviru kupališta.</w:t>
            </w:r>
          </w:p>
          <w:p w14:paraId="19CFF2C3" w14:textId="77777777" w:rsidR="0041555F" w:rsidRPr="002F45A6" w:rsidRDefault="0041555F" w:rsidP="005B62B9">
            <w:pPr>
              <w:jc w:val="both"/>
              <w:rPr>
                <w:rFonts w:ascii="Arial" w:hAnsi="Arial" w:cs="Arial"/>
                <w:sz w:val="22"/>
                <w:szCs w:val="22"/>
              </w:rPr>
            </w:pPr>
          </w:p>
          <w:p w14:paraId="59A0EB98" w14:textId="06E15262" w:rsidR="0041555F" w:rsidRPr="002F45A6" w:rsidRDefault="0041555F" w:rsidP="005B62B9">
            <w:pPr>
              <w:jc w:val="both"/>
              <w:rPr>
                <w:rFonts w:ascii="Arial" w:hAnsi="Arial" w:cs="Arial"/>
                <w:sz w:val="22"/>
                <w:szCs w:val="22"/>
              </w:rPr>
            </w:pPr>
            <w:r w:rsidRPr="002F45A6">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0D7B0E5F" w14:textId="208DBBEC" w:rsidR="0041555F" w:rsidRPr="002F45A6" w:rsidRDefault="005271E3" w:rsidP="005B62B9">
            <w:pPr>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325CA005">
                  <wp:simplePos x="0" y="0"/>
                  <wp:positionH relativeFrom="column">
                    <wp:posOffset>3686175</wp:posOffset>
                  </wp:positionH>
                  <wp:positionV relativeFrom="paragraph">
                    <wp:posOffset>727710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555F" w:rsidRPr="002F45A6">
              <w:rPr>
                <w:rFonts w:ascii="Arial" w:hAnsi="Arial" w:cs="Arial"/>
                <w:sz w:val="22"/>
                <w:szCs w:val="22"/>
              </w:rPr>
              <w:t>Teže pomični elementi plažne opreme kao što su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w:t>
            </w:r>
          </w:p>
          <w:p w14:paraId="335EE2B0" w14:textId="7EA8385D" w:rsidR="000C6DC9" w:rsidRPr="005271E3" w:rsidRDefault="000C6DC9" w:rsidP="000C6DC9">
            <w:pPr>
              <w:suppressAutoHyphens/>
              <w:jc w:val="both"/>
              <w:rPr>
                <w:rFonts w:ascii="Arial" w:hAnsi="Arial" w:cs="Arial"/>
                <w:i/>
                <w:sz w:val="22"/>
                <w:szCs w:val="22"/>
              </w:rPr>
            </w:pPr>
            <w:r w:rsidRPr="00526101">
              <w:rPr>
                <w:rFonts w:ascii="Arial" w:hAnsi="Arial" w:cs="Arial"/>
                <w:i/>
                <w:sz w:val="22"/>
                <w:szCs w:val="22"/>
              </w:rPr>
              <w:t xml:space="preserve"> </w:t>
            </w:r>
          </w:p>
          <w:p w14:paraId="335EE2B1" w14:textId="501669BC" w:rsidR="000C6DC9" w:rsidRPr="00526101" w:rsidRDefault="00475398" w:rsidP="000C6DC9">
            <w:pPr>
              <w:suppressAutoHyphens/>
              <w:jc w:val="both"/>
              <w:rPr>
                <w:rFonts w:ascii="Arial" w:hAnsi="Arial" w:cs="Arial"/>
                <w:sz w:val="22"/>
                <w:szCs w:val="22"/>
              </w:rPr>
            </w:pPr>
            <w:r w:rsidRPr="00526101">
              <w:rPr>
                <w:rFonts w:ascii="Arial" w:hAnsi="Arial" w:cs="Arial"/>
                <w:sz w:val="22"/>
                <w:szCs w:val="22"/>
              </w:rPr>
              <w:t>Moguće je postaviti s</w:t>
            </w:r>
            <w:r w:rsidR="000C6DC9" w:rsidRPr="00526101">
              <w:rPr>
                <w:rFonts w:ascii="Arial" w:hAnsi="Arial" w:cs="Arial"/>
                <w:sz w:val="22"/>
                <w:szCs w:val="22"/>
              </w:rPr>
              <w:t xml:space="preserve">ef na plaži </w:t>
            </w:r>
            <w:r w:rsidRPr="00526101">
              <w:rPr>
                <w:rFonts w:ascii="Arial" w:hAnsi="Arial" w:cs="Arial"/>
                <w:sz w:val="22"/>
                <w:szCs w:val="22"/>
              </w:rPr>
              <w:t xml:space="preserve">koji </w:t>
            </w:r>
            <w:r w:rsidR="000C6DC9"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155B30B3" w:rsidR="000C6DC9"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45D104D" w14:textId="77777777" w:rsidR="00DF61B3" w:rsidRPr="00526101" w:rsidRDefault="00DF61B3" w:rsidP="000C6DC9">
            <w:pPr>
              <w:suppressAutoHyphens/>
              <w:jc w:val="both"/>
              <w:rPr>
                <w:rFonts w:ascii="Arial" w:hAnsi="Arial" w:cs="Arial"/>
                <w:sz w:val="22"/>
                <w:szCs w:val="22"/>
              </w:rPr>
            </w:pPr>
          </w:p>
          <w:p w14:paraId="335EE2B4" w14:textId="2A3B55E1"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9" w14:textId="77777777" w:rsidR="000C6DC9" w:rsidRPr="00526101" w:rsidRDefault="000C6DC9" w:rsidP="000C6DC9">
            <w:pPr>
              <w:suppressAutoHyphens/>
              <w:jc w:val="both"/>
              <w:rPr>
                <w:rFonts w:ascii="Arial" w:hAnsi="Arial" w:cs="Arial"/>
                <w:sz w:val="22"/>
                <w:szCs w:val="22"/>
              </w:rPr>
            </w:pPr>
          </w:p>
          <w:p w14:paraId="335EE2BB" w14:textId="1D996393" w:rsidR="00BE68C1" w:rsidRPr="00526101" w:rsidRDefault="00BE68C1" w:rsidP="005271E3">
            <w:pPr>
              <w:suppressAutoHyphens/>
              <w:jc w:val="both"/>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D8CD766"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39110A">
              <w:rPr>
                <w:rFonts w:ascii="Arial" w:hAnsi="Arial" w:cs="Arial"/>
                <w:b/>
                <w:bCs/>
                <w:sz w:val="22"/>
                <w:szCs w:val="22"/>
              </w:rPr>
              <w:t>22C</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5271E3">
              <w:rPr>
                <w:rFonts w:ascii="Arial" w:hAnsi="Arial" w:cs="Arial"/>
                <w:b/>
                <w:bCs/>
                <w:sz w:val="22"/>
                <w:szCs w:val="22"/>
                <w:lang w:val="en-US"/>
              </w:rPr>
              <w:t>k</w:t>
            </w:r>
            <w:r w:rsidR="007D255F" w:rsidRPr="005271E3">
              <w:rPr>
                <w:rFonts w:ascii="Arial" w:hAnsi="Arial" w:cs="Arial"/>
                <w:b/>
                <w:bCs/>
                <w:sz w:val="22"/>
                <w:szCs w:val="22"/>
                <w:lang w:val="en-US"/>
              </w:rPr>
              <w:t>at.</w:t>
            </w:r>
            <w:r w:rsidR="009000DD" w:rsidRPr="005271E3">
              <w:rPr>
                <w:rFonts w:ascii="Arial" w:hAnsi="Arial" w:cs="Arial"/>
                <w:b/>
                <w:bCs/>
                <w:sz w:val="22"/>
                <w:szCs w:val="22"/>
                <w:lang w:val="en-US"/>
              </w:rPr>
              <w:t>p</w:t>
            </w:r>
            <w:r w:rsidR="007D255F" w:rsidRPr="005271E3">
              <w:rPr>
                <w:rFonts w:ascii="Arial" w:hAnsi="Arial" w:cs="Arial"/>
                <w:b/>
                <w:bCs/>
                <w:sz w:val="22"/>
                <w:szCs w:val="22"/>
                <w:lang w:val="en-US"/>
              </w:rPr>
              <w:t>arceli</w:t>
            </w:r>
            <w:proofErr w:type="spellEnd"/>
            <w:r w:rsidR="009000DD" w:rsidRPr="005271E3">
              <w:rPr>
                <w:rFonts w:ascii="Arial" w:hAnsi="Arial" w:cs="Arial"/>
                <w:b/>
                <w:bCs/>
                <w:sz w:val="22"/>
                <w:szCs w:val="22"/>
                <w:lang w:val="en-US"/>
              </w:rPr>
              <w:t xml:space="preserve"> </w:t>
            </w:r>
            <w:r w:rsidR="0039110A" w:rsidRPr="005271E3">
              <w:rPr>
                <w:rFonts w:ascii="Arial" w:hAnsi="Arial" w:cs="Arial"/>
                <w:b/>
                <w:bCs/>
                <w:sz w:val="22"/>
                <w:szCs w:val="22"/>
                <w:lang w:val="en-US"/>
              </w:rPr>
              <w:t>2</w:t>
            </w:r>
            <w:r w:rsidR="009000DD" w:rsidRPr="005271E3">
              <w:rPr>
                <w:rFonts w:ascii="Arial" w:hAnsi="Arial" w:cs="Arial"/>
                <w:b/>
                <w:bCs/>
                <w:sz w:val="22"/>
                <w:szCs w:val="22"/>
                <w:lang w:val="en-US"/>
              </w:rPr>
              <w:t xml:space="preserve"> KO </w:t>
            </w:r>
            <w:proofErr w:type="spellStart"/>
            <w:r w:rsidR="0039110A" w:rsidRPr="005271E3">
              <w:rPr>
                <w:rFonts w:ascii="Arial" w:hAnsi="Arial" w:cs="Arial"/>
                <w:b/>
                <w:bCs/>
                <w:sz w:val="22"/>
                <w:szCs w:val="22"/>
                <w:lang w:val="en-US"/>
              </w:rPr>
              <w:t>Reževići</w:t>
            </w:r>
            <w:proofErr w:type="spellEnd"/>
            <w:r w:rsidR="00E219A0">
              <w:rPr>
                <w:rFonts w:ascii="Arial" w:hAnsi="Arial" w:cs="Arial"/>
                <w:b/>
                <w:bCs/>
                <w:sz w:val="22"/>
                <w:szCs w:val="22"/>
                <w:lang w:val="en-US"/>
              </w:rPr>
              <w:t xml:space="preserve"> I</w:t>
            </w:r>
            <w:r w:rsidR="00E748E6" w:rsidRPr="005271E3">
              <w:rPr>
                <w:rFonts w:ascii="Arial" w:hAnsi="Arial" w:cs="Arial"/>
                <w:b/>
                <w:bCs/>
                <w:sz w:val="22"/>
                <w:szCs w:val="22"/>
                <w:lang w:val="en-US"/>
              </w:rPr>
              <w:t>,</w:t>
            </w:r>
            <w:r w:rsidR="00E748E6" w:rsidRPr="0039110A">
              <w:rPr>
                <w:rFonts w:ascii="Arial" w:hAnsi="Arial" w:cs="Arial"/>
                <w:b/>
                <w:bCs/>
                <w:sz w:val="22"/>
                <w:szCs w:val="22"/>
                <w:lang w:val="en-US"/>
              </w:rPr>
              <w:t xml:space="preserve"> </w:t>
            </w:r>
            <w:proofErr w:type="spellStart"/>
            <w:r w:rsidR="00E748E6" w:rsidRPr="0039110A">
              <w:rPr>
                <w:rFonts w:ascii="Arial" w:hAnsi="Arial" w:cs="Arial"/>
                <w:b/>
                <w:bCs/>
                <w:sz w:val="22"/>
                <w:szCs w:val="22"/>
                <w:lang w:val="en-US"/>
              </w:rPr>
              <w:t>opština</w:t>
            </w:r>
            <w:proofErr w:type="spellEnd"/>
            <w:r w:rsidR="00E748E6" w:rsidRPr="0039110A">
              <w:rPr>
                <w:rFonts w:ascii="Arial" w:hAnsi="Arial" w:cs="Arial"/>
                <w:b/>
                <w:bCs/>
                <w:sz w:val="22"/>
                <w:szCs w:val="22"/>
                <w:lang w:val="en-US"/>
              </w:rPr>
              <w:t xml:space="preserve"> </w:t>
            </w:r>
            <w:proofErr w:type="spellStart"/>
            <w:r w:rsidR="00FF03F2" w:rsidRPr="0039110A">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lastRenderedPageBreak/>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23AA71C9"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A23A03" w:rsidRPr="00A23A03">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lastRenderedPageBreak/>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lastRenderedPageBreak/>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76E9CAB5"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w:t>
            </w:r>
            <w:r w:rsidR="00D45704">
              <w:rPr>
                <w:rFonts w:ascii="Arial" w:hAnsi="Arial" w:cs="Arial"/>
                <w:b/>
                <w:sz w:val="22"/>
                <w:szCs w:val="22"/>
                <w:lang w:val="sr-Latn-CS" w:eastAsia="ar-SA"/>
              </w:rPr>
              <w:t xml:space="preserve"> </w:t>
            </w:r>
            <w:r w:rsidR="00D45704" w:rsidRPr="00D45704">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34B253B1"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2BE67D0A" w:rsidR="00727CDC" w:rsidRPr="00526101" w:rsidRDefault="003C1822" w:rsidP="005053D0">
            <w:pPr>
              <w:tabs>
                <w:tab w:val="left" w:pos="6915"/>
              </w:tabs>
              <w:rPr>
                <w:rFonts w:ascii="Arial" w:hAnsi="Arial" w:cs="Arial"/>
                <w:b/>
                <w:bCs/>
                <w:sz w:val="22"/>
                <w:szCs w:val="22"/>
              </w:rPr>
            </w:pPr>
            <w:r w:rsidRPr="003C1822">
              <w:rPr>
                <w:rFonts w:ascii="Arial" w:hAnsi="Arial" w:cs="Arial"/>
                <w:b/>
                <w:bCs/>
                <w:sz w:val="22"/>
                <w:szCs w:val="22"/>
              </w:rPr>
              <w:t>VD RUKOVODILAC SLUZBE ZA UREĐENJE I IZGRADNJU:</w:t>
            </w:r>
          </w:p>
        </w:tc>
        <w:tc>
          <w:tcPr>
            <w:tcW w:w="4138" w:type="dxa"/>
            <w:gridSpan w:val="2"/>
            <w:noWrap/>
            <w:hideMark/>
          </w:tcPr>
          <w:p w14:paraId="335EE30D" w14:textId="38417AB4"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4"/>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97C08" w14:textId="77777777" w:rsidR="00715E8D" w:rsidRDefault="00715E8D" w:rsidP="0016116A">
      <w:pPr>
        <w:spacing w:after="0" w:line="240" w:lineRule="auto"/>
      </w:pPr>
      <w:r>
        <w:separator/>
      </w:r>
    </w:p>
  </w:endnote>
  <w:endnote w:type="continuationSeparator" w:id="0">
    <w:p w14:paraId="52AB36B2" w14:textId="77777777" w:rsidR="00715E8D" w:rsidRDefault="00715E8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7CBF4" w14:textId="77777777" w:rsidR="00715E8D" w:rsidRDefault="00715E8D" w:rsidP="0016116A">
      <w:pPr>
        <w:spacing w:after="0" w:line="240" w:lineRule="auto"/>
      </w:pPr>
      <w:r>
        <w:separator/>
      </w:r>
    </w:p>
  </w:footnote>
  <w:footnote w:type="continuationSeparator" w:id="0">
    <w:p w14:paraId="06BE12A0" w14:textId="77777777" w:rsidR="00715E8D" w:rsidRDefault="00715E8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238E"/>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2455"/>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015F"/>
    <w:rsid w:val="002D239E"/>
    <w:rsid w:val="002E1867"/>
    <w:rsid w:val="002F2766"/>
    <w:rsid w:val="002F684A"/>
    <w:rsid w:val="002F7118"/>
    <w:rsid w:val="002F7135"/>
    <w:rsid w:val="002F76E3"/>
    <w:rsid w:val="00302021"/>
    <w:rsid w:val="003253E8"/>
    <w:rsid w:val="003277D9"/>
    <w:rsid w:val="00345551"/>
    <w:rsid w:val="003610B5"/>
    <w:rsid w:val="003770BA"/>
    <w:rsid w:val="00377CC8"/>
    <w:rsid w:val="003857D4"/>
    <w:rsid w:val="0039110A"/>
    <w:rsid w:val="00392A78"/>
    <w:rsid w:val="003B5350"/>
    <w:rsid w:val="003B6242"/>
    <w:rsid w:val="003C1822"/>
    <w:rsid w:val="003C767C"/>
    <w:rsid w:val="003E1244"/>
    <w:rsid w:val="003E3B3E"/>
    <w:rsid w:val="003E648F"/>
    <w:rsid w:val="003F0952"/>
    <w:rsid w:val="004017D2"/>
    <w:rsid w:val="00407029"/>
    <w:rsid w:val="0041540F"/>
    <w:rsid w:val="0041555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271E3"/>
    <w:rsid w:val="00530127"/>
    <w:rsid w:val="00537B52"/>
    <w:rsid w:val="0055402A"/>
    <w:rsid w:val="00565D22"/>
    <w:rsid w:val="005821A1"/>
    <w:rsid w:val="005927F6"/>
    <w:rsid w:val="005A5F0F"/>
    <w:rsid w:val="005B1D64"/>
    <w:rsid w:val="005B5E10"/>
    <w:rsid w:val="005B62B9"/>
    <w:rsid w:val="005B6A81"/>
    <w:rsid w:val="005C0561"/>
    <w:rsid w:val="005C116F"/>
    <w:rsid w:val="005C3996"/>
    <w:rsid w:val="005D2DD2"/>
    <w:rsid w:val="005D437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2A52"/>
    <w:rsid w:val="00704035"/>
    <w:rsid w:val="007124D5"/>
    <w:rsid w:val="00715E8D"/>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525F"/>
    <w:rsid w:val="008E7CB4"/>
    <w:rsid w:val="009000DD"/>
    <w:rsid w:val="0090214F"/>
    <w:rsid w:val="009040E5"/>
    <w:rsid w:val="00907B23"/>
    <w:rsid w:val="00912A2C"/>
    <w:rsid w:val="0091496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23A03"/>
    <w:rsid w:val="00A31AA8"/>
    <w:rsid w:val="00A34140"/>
    <w:rsid w:val="00A36C48"/>
    <w:rsid w:val="00A54B39"/>
    <w:rsid w:val="00A700A1"/>
    <w:rsid w:val="00A71435"/>
    <w:rsid w:val="00A837FC"/>
    <w:rsid w:val="00A83A97"/>
    <w:rsid w:val="00A905D8"/>
    <w:rsid w:val="00A96785"/>
    <w:rsid w:val="00A97F2B"/>
    <w:rsid w:val="00AB623E"/>
    <w:rsid w:val="00AC27C5"/>
    <w:rsid w:val="00AC34CF"/>
    <w:rsid w:val="00AC5846"/>
    <w:rsid w:val="00AD3FE3"/>
    <w:rsid w:val="00AE324B"/>
    <w:rsid w:val="00AE3C38"/>
    <w:rsid w:val="00AE5BAF"/>
    <w:rsid w:val="00AF0A1A"/>
    <w:rsid w:val="00B0112E"/>
    <w:rsid w:val="00B025EA"/>
    <w:rsid w:val="00B169E7"/>
    <w:rsid w:val="00B175C1"/>
    <w:rsid w:val="00B2280D"/>
    <w:rsid w:val="00B261A8"/>
    <w:rsid w:val="00B26D17"/>
    <w:rsid w:val="00B30217"/>
    <w:rsid w:val="00B3068C"/>
    <w:rsid w:val="00B31559"/>
    <w:rsid w:val="00B331C3"/>
    <w:rsid w:val="00B425CE"/>
    <w:rsid w:val="00B45EC2"/>
    <w:rsid w:val="00B468BE"/>
    <w:rsid w:val="00B4797A"/>
    <w:rsid w:val="00B509D3"/>
    <w:rsid w:val="00B51237"/>
    <w:rsid w:val="00B51F00"/>
    <w:rsid w:val="00B53911"/>
    <w:rsid w:val="00B5647F"/>
    <w:rsid w:val="00B6577E"/>
    <w:rsid w:val="00B67350"/>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5704"/>
    <w:rsid w:val="00D4646C"/>
    <w:rsid w:val="00D5511F"/>
    <w:rsid w:val="00D552AD"/>
    <w:rsid w:val="00D811F5"/>
    <w:rsid w:val="00D82D12"/>
    <w:rsid w:val="00D8675A"/>
    <w:rsid w:val="00D90125"/>
    <w:rsid w:val="00DA4C5B"/>
    <w:rsid w:val="00DB032D"/>
    <w:rsid w:val="00DB2CDF"/>
    <w:rsid w:val="00DB347E"/>
    <w:rsid w:val="00DB44FD"/>
    <w:rsid w:val="00DC0ACF"/>
    <w:rsid w:val="00DD00C8"/>
    <w:rsid w:val="00DD7E0D"/>
    <w:rsid w:val="00DE64A6"/>
    <w:rsid w:val="00DF61B3"/>
    <w:rsid w:val="00E102CC"/>
    <w:rsid w:val="00E14D56"/>
    <w:rsid w:val="00E17461"/>
    <w:rsid w:val="00E17D82"/>
    <w:rsid w:val="00E219A0"/>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B3CCC"/>
    <w:rsid w:val="00EC53AE"/>
    <w:rsid w:val="00EC557E"/>
    <w:rsid w:val="00ED0A1A"/>
    <w:rsid w:val="00EF553A"/>
    <w:rsid w:val="00EF69DE"/>
    <w:rsid w:val="00F0017F"/>
    <w:rsid w:val="00F04485"/>
    <w:rsid w:val="00F0592E"/>
    <w:rsid w:val="00F14D61"/>
    <w:rsid w:val="00F228D5"/>
    <w:rsid w:val="00F420C3"/>
    <w:rsid w:val="00F43BAF"/>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17</cp:revision>
  <cp:lastPrinted>2019-04-19T08:33:00Z</cp:lastPrinted>
  <dcterms:created xsi:type="dcterms:W3CDTF">2025-01-02T19:19:00Z</dcterms:created>
  <dcterms:modified xsi:type="dcterms:W3CDTF">2025-02-12T12:54:00Z</dcterms:modified>
</cp:coreProperties>
</file>