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226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335EE229" w14:textId="0DD214E4" w:rsidR="005053D0" w:rsidRPr="00C20394" w:rsidRDefault="00845F41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NACRT- 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</w:p>
    <w:p w14:paraId="335EE22A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335EE236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2B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335EE22C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335EE22D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335EE22E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2F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30" w14:textId="478552F4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335EE231" w14:textId="5621561B" w:rsidR="009B6699" w:rsidRPr="007B3552" w:rsidRDefault="00435883" w:rsidP="00B9537D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C5A71"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>2025.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335EE232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EE233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5722A021" w14:textId="77777777" w:rsidR="002B2ED5" w:rsidRDefault="002B2ED5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335EE234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335EE235" w14:textId="587E2F5D" w:rsidR="00727CDC" w:rsidRPr="007B3552" w:rsidRDefault="002B2ED5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335EE3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59.25pt" o:ole="">
                  <v:imagedata r:id="rId8" o:title=""/>
                </v:shape>
                <o:OLEObject Type="Embed" ProgID="CorelDRAW.Graphic.9" ShapeID="_x0000_i1025" DrawAspect="Content" ObjectID="_1801982435" r:id="rId9"/>
              </w:object>
            </w:r>
          </w:p>
        </w:tc>
      </w:tr>
      <w:tr w:rsidR="007B3552" w:rsidRPr="007B3552" w14:paraId="335EE23A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7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3E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B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2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0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6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335EE243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B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335EE249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0D6A48D4" w14:textId="77777777" w:rsidR="00727CDC" w:rsidRDefault="002E2290" w:rsidP="00DD38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  <w:p w14:paraId="335EE24A" w14:textId="73B2F221" w:rsidR="008C6D7E" w:rsidRPr="00A34140" w:rsidRDefault="008C6D7E" w:rsidP="00DD38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E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4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4D" w14:textId="126331D8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335EE251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335EE24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50" w14:textId="77777777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335EE254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52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335EE253" w14:textId="70E69185" w:rsidR="00727CDC" w:rsidRPr="00A34140" w:rsidRDefault="00D5511F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A34140">
              <w:rPr>
                <w:rFonts w:ascii="Arial" w:hAnsi="Arial" w:cs="Arial"/>
                <w:sz w:val="24"/>
                <w:szCs w:val="24"/>
              </w:rPr>
              <w:t>postavljanje privremen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ih objekata</w:t>
            </w:r>
            <w:r w:rsidR="00A36C4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na kupalištu označenom </w:t>
            </w:r>
            <w:r w:rsidR="006E5718" w:rsidRPr="00A34140">
              <w:rPr>
                <w:rFonts w:ascii="Arial" w:hAnsi="Arial" w:cs="Arial"/>
                <w:sz w:val="24"/>
                <w:szCs w:val="24"/>
              </w:rPr>
              <w:t>br</w:t>
            </w:r>
            <w:r w:rsidR="00DD38A1">
              <w:rPr>
                <w:rFonts w:ascii="Arial" w:hAnsi="Arial" w:cs="Arial"/>
                <w:sz w:val="24"/>
                <w:szCs w:val="24"/>
              </w:rPr>
              <w:t>ojem</w:t>
            </w:r>
            <w:r w:rsidR="000765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654A">
              <w:rPr>
                <w:rFonts w:ascii="Arial" w:hAnsi="Arial" w:cs="Arial"/>
                <w:b/>
                <w:sz w:val="24"/>
                <w:szCs w:val="24"/>
              </w:rPr>
              <w:t>13A</w:t>
            </w:r>
            <w:r w:rsidR="00DD38A1" w:rsidRPr="00DD38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896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opštini </w:t>
            </w:r>
            <w:r w:rsidR="00DD38A1" w:rsidRPr="0089651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predviđen</w:t>
            </w:r>
            <w:r w:rsidR="00DD38A1">
              <w:rPr>
                <w:rFonts w:ascii="Arial" w:hAnsi="Arial" w:cs="Arial"/>
                <w:sz w:val="24"/>
                <w:szCs w:val="24"/>
              </w:rPr>
              <w:t>i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4C615B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9651B">
              <w:rPr>
                <w:rFonts w:ascii="Arial" w:hAnsi="Arial" w:cs="Arial"/>
                <w:sz w:val="24"/>
                <w:szCs w:val="24"/>
              </w:rPr>
              <w:t>a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C615B">
              <w:rPr>
                <w:rFonts w:ascii="Arial" w:hAnsi="Arial" w:cs="Arial"/>
                <w:sz w:val="24"/>
                <w:szCs w:val="24"/>
              </w:rPr>
              <w:t>ma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DD38A1" w:rsidRPr="00DD38A1">
              <w:rPr>
                <w:rFonts w:ascii="Arial" w:hAnsi="Arial" w:cs="Arial"/>
                <w:sz w:val="24"/>
                <w:szCs w:val="24"/>
              </w:rPr>
              <w:t>Herceg Novi</w:t>
            </w:r>
            <w:r w:rsidR="003C767C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C615B">
              <w:rPr>
                <w:rFonts w:ascii="Arial" w:hAnsi="Arial" w:cs="Arial"/>
                <w:sz w:val="24"/>
                <w:szCs w:val="24"/>
              </w:rPr>
              <w:t>2024-2028.</w:t>
            </w:r>
            <w:r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C615B">
              <w:rPr>
                <w:rFonts w:ascii="Arial" w:hAnsi="Arial" w:cs="Arial"/>
                <w:sz w:val="24"/>
                <w:szCs w:val="24"/>
              </w:rPr>
              <w:t>ine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3552" w:rsidRPr="007B3552" w14:paraId="335EE257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335EE255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335EE256" w14:textId="77777777" w:rsidR="00727CDC" w:rsidRPr="00A3414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5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8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335EE259" w14:textId="77777777" w:rsidR="00727CDC" w:rsidRPr="00A3414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335EE25A" w14:textId="249FC145" w:rsidR="00727CDC" w:rsidRPr="004C615B" w:rsidRDefault="00727CDC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335EE25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C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5D" w14:textId="77777777" w:rsidR="00727CDC" w:rsidRPr="00A3414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335EE26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F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60" w14:textId="77777777" w:rsidR="0047326F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A341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335EE2B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335EE262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35EE263" w14:textId="31A1AE56" w:rsidR="008357A8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U sklopu uređenog kupališta </w:t>
            </w:r>
            <w:r w:rsidR="00E7654A">
              <w:rPr>
                <w:rFonts w:ascii="Arial" w:hAnsi="Arial" w:cs="Arial"/>
                <w:b/>
                <w:bCs/>
                <w:sz w:val="24"/>
                <w:szCs w:val="24"/>
              </w:rPr>
              <w:t>13A</w:t>
            </w:r>
            <w:r w:rsidR="001566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propisuju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se urbanistički uslovi za postavljanje montažno-</w:t>
            </w:r>
            <w:proofErr w:type="spellStart"/>
            <w:r w:rsidR="008907E1"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pokretnih, privremenih objekata 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kao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 otvorenih površina u funkciji privremenog objekta koji se mogu postavljati za potrebe uređenih kupališta</w:t>
            </w:r>
          </w:p>
          <w:p w14:paraId="4D287246" w14:textId="77777777" w:rsidR="00B70CDD" w:rsidRDefault="00B70CDD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65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pješčanom dijelu odnosno prirodnoj obali u sklopu uređenih kupališta nije dozvoljeno postavljanje nepokretnih privremenih objekata;</w:t>
            </w:r>
          </w:p>
          <w:p w14:paraId="335EE266" w14:textId="77777777" w:rsidR="000C6DC9" w:rsidRPr="00A34140" w:rsidRDefault="000C6DC9" w:rsidP="00A34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EE26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>Na uređenim kupalištima je moguće postaviti rampe za ulazak u more lica sa invaliditetom, u skladu sa prostornim mogućnostima, bez potrebe unošenja lokacija u grafički dio Programa.</w:t>
            </w:r>
          </w:p>
          <w:p w14:paraId="335EE268" w14:textId="77777777" w:rsidR="000C6DC9" w:rsidRPr="00A34140" w:rsidRDefault="000C6DC9" w:rsidP="000C6D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5EE269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privremeni objekti na kupalištu se nakon sezone mogu ukloniti sa površine kupališta ili ostaviti na kupalištu uz obavezno konzerviranje u skladu sa smjernicama za konzerviranje privremenih objekata koje su dio ovog Programa;</w:t>
            </w:r>
          </w:p>
          <w:p w14:paraId="335EE26A" w14:textId="77777777" w:rsidR="00A34140" w:rsidRDefault="00A34140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35EE26B" w14:textId="33986010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Urbanistički uslovi za postavljanje spasilačke osmatračnice i spasilačkog punkta</w:t>
            </w:r>
          </w:p>
          <w:p w14:paraId="335EE26C" w14:textId="52C51FB5" w:rsidR="000C6DC9" w:rsidRPr="00A34140" w:rsidRDefault="00845F41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3360" behindDoc="0" locked="0" layoutInCell="1" allowOverlap="1" wp14:anchorId="335EE32C" wp14:editId="10F21845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140970</wp:posOffset>
                  </wp:positionV>
                  <wp:extent cx="3014345" cy="1878965"/>
                  <wp:effectExtent l="0" t="0" r="0" b="6985"/>
                  <wp:wrapTight wrapText="bothSides">
                    <wp:wrapPolygon edited="0">
                      <wp:start x="0" y="0"/>
                      <wp:lineTo x="0" y="21461"/>
                      <wp:lineTo x="21432" y="21461"/>
                      <wp:lineTo x="21432" y="0"/>
                      <wp:lineTo x="0" y="0"/>
                    </wp:wrapPolygon>
                  </wp:wrapTight>
                  <wp:docPr id="12" name="Picture 12" descr="https://mapio.net/images-p/4801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io.net/images-p/480166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84" b="7214"/>
                          <a:stretch/>
                        </pic:blipFill>
                        <pic:spPr bwMode="auto">
                          <a:xfrm>
                            <a:off x="0" y="0"/>
                            <a:ext cx="3014345" cy="18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6D" w14:textId="6B23AD88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Spasilačka osmatračnica i spasilački punkt postavljaju se na djelovima kupališta sa većom koncentracijom kupača, na pozicijama koje obezbjeđuju dobru preglednost kupališta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akvatorijuma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po mogućnosti na prirodnom uzvišenju. </w:t>
            </w:r>
          </w:p>
          <w:p w14:paraId="335EE26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Površina spasilačke osmatračnice u osnovi može biti do 4m2</w:t>
            </w:r>
          </w:p>
          <w:p w14:paraId="335EE26F" w14:textId="66BE4B3A" w:rsidR="000C6DC9" w:rsidRDefault="00845F41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4384" behindDoc="0" locked="0" layoutInCell="1" allowOverlap="1" wp14:anchorId="335EE32E" wp14:editId="282796AE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278130</wp:posOffset>
                  </wp:positionV>
                  <wp:extent cx="3013710" cy="187579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436" y="21278"/>
                      <wp:lineTo x="21436" y="0"/>
                      <wp:lineTo x="0" y="0"/>
                    </wp:wrapPolygon>
                  </wp:wrapTight>
                  <wp:docPr id="13" name="Picture 13" descr="ezultat slika za baywatch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zultat slika za baywatch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Spasilački punkt je otvoreni prostor u funkciji privremenog objekta koji se određuje na većim kupalištima, na svakih 50m dužine kupališta, između dvije kule, u neposrednoj blizini vode, na koji se u toku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kupališta smješta spasilačka oprema potrebna za hitnu intervenciju (dvogled, bova za spašavanje,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signalizacione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zastave, oprema za prvu pomoć).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Nakon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ova se oprema uklanja sa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kupališnog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dijela.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4140" w:rsidRPr="00A34140">
              <w:rPr>
                <w:rFonts w:ascii="Arial" w:hAnsi="Arial" w:cs="Arial"/>
                <w:sz w:val="24"/>
                <w:szCs w:val="24"/>
              </w:rPr>
              <w:t>Tehnička dokumentacija: Idejno rješenje</w:t>
            </w:r>
            <w:r w:rsidR="007A7269">
              <w:rPr>
                <w:rFonts w:ascii="Arial" w:hAnsi="Arial" w:cs="Arial"/>
                <w:sz w:val="24"/>
                <w:szCs w:val="24"/>
              </w:rPr>
              <w:t>)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5EE270" w14:textId="77777777" w:rsidR="00A34140" w:rsidRDefault="00A34140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AA9A5B" w14:textId="77777777" w:rsidR="008C6D7E" w:rsidRPr="00A34140" w:rsidRDefault="008C6D7E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2" w14:textId="7FEA076F" w:rsidR="000C6DC9" w:rsidRPr="00A34140" w:rsidRDefault="000C6DC9" w:rsidP="002E22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Informativna zastava</w:t>
            </w:r>
          </w:p>
          <w:p w14:paraId="335EE27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spasilačkoj kuli i/ili spasilačkom punktu i može biti u tri boje (zelena, žuta i crvena).</w:t>
            </w:r>
          </w:p>
          <w:p w14:paraId="335EE27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može da sadrži i informativni natpis o kupalištu (plava zastavica).</w:t>
            </w:r>
          </w:p>
          <w:p w14:paraId="335EE275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Kraći rubovi zastave moraju biti najmanje 0,75 m dužine. Omjer između dužine i širine mora biti najmanje 2:1.</w:t>
            </w:r>
          </w:p>
          <w:p w14:paraId="335EE276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jarbolu na mjestu koje je vidljivo većini korisnika kupališta.</w:t>
            </w:r>
          </w:p>
          <w:p w14:paraId="335EE27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Visina jarbola ne smije biti manja od 5 m.</w:t>
            </w:r>
          </w:p>
          <w:p w14:paraId="335EE278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Fotodokumentacija.</w:t>
            </w:r>
          </w:p>
          <w:p w14:paraId="0D886030" w14:textId="77777777" w:rsidR="008C6D7E" w:rsidRPr="00A34140" w:rsidRDefault="008C6D7E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9" w14:textId="77777777" w:rsidR="000C6DC9" w:rsidRDefault="000C6DC9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C0E897" w14:textId="77777777" w:rsidR="008C6D7E" w:rsidRPr="00A34140" w:rsidRDefault="008C6D7E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B" w14:textId="502C183F" w:rsidR="000C6DC9" w:rsidRPr="00A34140" w:rsidRDefault="000C6DC9" w:rsidP="002E22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Informativna tabla za korisnike kupališta</w:t>
            </w:r>
          </w:p>
          <w:p w14:paraId="335EE27C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Informativne table na kupalištu su sljedećih dimenzija:</w:t>
            </w:r>
          </w:p>
          <w:p w14:paraId="335EE27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1) tabla sa informacijama o kupalištu, dimenzija konstrukcije 260 x 100 cm i dimenzija table 100x100cm;</w:t>
            </w:r>
          </w:p>
          <w:p w14:paraId="335EE27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2) tabla sa informacijama 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plažnom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redu, dimenzija 70 x 130cm;</w:t>
            </w:r>
          </w:p>
          <w:p w14:paraId="335EE27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3) tabla sa informacijama o bezbjednosti kupača, dimenzija 100x150 cm.</w:t>
            </w:r>
          </w:p>
          <w:p w14:paraId="335EE28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Konstrukcija informativne table za korisnike kupališta je metalna, pričvršćena za tlo na način primjeren postojećoj podlozi.</w:t>
            </w:r>
          </w:p>
          <w:p w14:paraId="335EE281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</w:t>
            </w:r>
          </w:p>
          <w:p w14:paraId="335EE282" w14:textId="77777777" w:rsidR="00FF03F2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4" w14:textId="46AB0A85" w:rsidR="00FF03F2" w:rsidRPr="00FF03F2" w:rsidRDefault="00FF03F2" w:rsidP="002E2290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Urbanistički uslovi za postavljanje objekta za smještaj </w:t>
            </w:r>
            <w:proofErr w:type="spellStart"/>
            <w:r w:rsidRPr="00FF03F2">
              <w:rPr>
                <w:rFonts w:ascii="Arial" w:hAnsi="Arial" w:cs="Arial"/>
                <w:b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 mobilijara</w:t>
            </w:r>
          </w:p>
          <w:p w14:paraId="335EE285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Postavljanje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moguće je dozvoliti </w:t>
            </w:r>
            <w:r w:rsidRPr="00FF03F2">
              <w:rPr>
                <w:rFonts w:ascii="Arial" w:hAnsi="Arial" w:cs="Arial"/>
                <w:sz w:val="24"/>
                <w:szCs w:val="22"/>
                <w:u w:val="single"/>
              </w:rPr>
              <w:t>isključivo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na kupalištima koja mobilijar izdaju po potrebi i na zahtjev korisnika, odnosno na kraju dnevnog radnog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vremena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plažni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 (ležaljke i suncobrane) uklanjaju sa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kupališne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površine;</w:t>
            </w:r>
          </w:p>
          <w:p w14:paraId="335EE286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Površina na kojoj se postavlja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ne može se fizički mijenjati odnosno betonirati, odnosno postavlja se isključivo na postojeću odnosno daščanu podlogu, maksimalne visine 10 cm u odnosu na kotu terena. Ne može se postavljati na pješčanom dijelu kupališta.</w:t>
            </w:r>
          </w:p>
          <w:p w14:paraId="335EE287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Objekat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izrađuje se od montažnih elemenata, površine je do najviše 16 m2, a svojim izgledom je uklopljen u ambijent lokacije.</w:t>
            </w:r>
          </w:p>
          <w:p w14:paraId="335EE288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Način postavljanja ove vrste privremenih objekata je montiranje na licu mjesta od već napravljenih elemenata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kontrukcije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elemenata krova,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demontažnih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elemenata vertikalnih pregrada (staklo,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leksan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lim,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tegola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i drugo),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podne platforme. Na isti način se vrši i demontaža.</w:t>
            </w:r>
          </w:p>
          <w:p w14:paraId="335EE28A" w14:textId="0A7E078C" w:rsidR="00FF03F2" w:rsidRPr="00A34140" w:rsidRDefault="00FF03F2" w:rsidP="002E22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3F2">
              <w:rPr>
                <w:rFonts w:ascii="Arial" w:hAnsi="Arial" w:cs="Arial"/>
                <w:i/>
                <w:sz w:val="24"/>
                <w:szCs w:val="22"/>
              </w:rPr>
              <w:t>Tehnička dokumentacija: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Idejno rješenje</w:t>
            </w:r>
          </w:p>
          <w:p w14:paraId="335EE28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D" w14:textId="2ABF5DCB" w:rsidR="000C6DC9" w:rsidRPr="00A34140" w:rsidRDefault="000C6DC9" w:rsidP="002E22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Sanitarni objekti za potrebe kupališta</w:t>
            </w:r>
          </w:p>
          <w:p w14:paraId="335EE28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Uz predviđeni ugostiteljski objekat,  uz uređeno kupalište i u njegovom zaleđu, gdje za to postoje infrastrukturni priključci može se odobriti postavljanje montažno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sanitarnih objekata u površinama srazmjerno veličini ugostiteljskog objekta, odnosno kupališta i zakonskim propisima. Na kupalištima i u njihovom zaleđu sanitarni objekti mogu biti i kontejnerskog tipa;</w:t>
            </w:r>
          </w:p>
          <w:p w14:paraId="335EE28F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 ili tipski projekat</w:t>
            </w:r>
          </w:p>
          <w:p w14:paraId="1DC9EA24" w14:textId="77777777" w:rsidR="009708CE" w:rsidRPr="009708CE" w:rsidRDefault="009708CE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9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Pokretni privremeni objekti, odnosno oprema i uređaji koji se mogu naći na kopnenom dijelu kupališta su: kabine za presvlačenje,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tuševi, pokretni toaleti, mobilni sanitarni blok, sef na kupalištu,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mobilijar, dječje igralište. Navedena oprema i uređaji se, za razliku od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objekata, nakon završetka sezone uklanjaju sa kupališta;</w:t>
            </w:r>
          </w:p>
          <w:p w14:paraId="335EE29A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B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kabine za presvlačenje, ležaljke, suncobrane,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stočiće i sl. potrebno je obezbijediti adekvatnu lokaciju i raspored u okviru kupališta.</w:t>
            </w:r>
          </w:p>
          <w:p w14:paraId="335EE29C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Kabine za presvlačenje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 moraju biti postavljeni po obodu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površine i/ili u neposrednom zaleđu pješčanog dijela kupališta. Preporuka je da se kabine za presvlačenje grupišu sa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tuševima. </w:t>
            </w:r>
          </w:p>
          <w:p w14:paraId="335EE29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Teže pomični elementi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kao što su je baldahini, kante za otpatke, sefovi na plaži i dr. treba da budu postavljeni na način da se obezbijedi komfor korisnicima kupališta (sunce, pristup moru, prirodni hlad itd.), ne ometa se slobodno kretanje u prostoru kupališta i omogućava kontrola korišćenja opreme i njeno jednostavno servisiranje i održavanje.  </w:t>
            </w:r>
          </w:p>
          <w:p w14:paraId="335EE29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Režim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korištenja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na plaži, površina kupališta koja mora biti oslobođena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(ležaljke, suncobrani, stočići, kante za otpatke i dr.), dakle slobodni prostor s jedne i raspored odobrene količine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u prostoru s druge strane utvrđuje se Ugovorom o zakupu, u odnosu na režim kupališta (hotelsko, javno, gradsko, specijalno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335EE29F" w14:textId="5E0A0108" w:rsidR="000C6DC9" w:rsidRPr="00A34140" w:rsidRDefault="00DC1A1C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1312" behindDoc="0" locked="0" layoutInCell="1" allowOverlap="1" wp14:anchorId="335EE332" wp14:editId="04831C5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584835</wp:posOffset>
                  </wp:positionV>
                  <wp:extent cx="2257425" cy="1503045"/>
                  <wp:effectExtent l="0" t="0" r="9525" b="1905"/>
                  <wp:wrapTight wrapText="bothSides">
                    <wp:wrapPolygon edited="0">
                      <wp:start x="0" y="0"/>
                      <wp:lineTo x="0" y="21354"/>
                      <wp:lineTo x="21509" y="21354"/>
                      <wp:lineTo x="21509" y="0"/>
                      <wp:lineTo x="0" y="0"/>
                    </wp:wrapPolygon>
                  </wp:wrapTight>
                  <wp:docPr id="10" name="Picture 10" descr="ezultat slika za sun bed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zultat slika za sun bed b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>Ležaljke se izrađuju od PVC materijala, drveta i ostalih lakih materijala, a baldahini se izrađuju od drvene konstrukcije površine do 2 x 2.5 m, natkrivene bijelim platnom i zavjesama.</w:t>
            </w:r>
          </w:p>
          <w:p w14:paraId="335EE2AA" w14:textId="1C914A18" w:rsidR="000C6DC9" w:rsidRPr="00DC1A1C" w:rsidRDefault="00DC1A1C" w:rsidP="00DC1A1C">
            <w:pPr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2336" behindDoc="0" locked="0" layoutInCell="1" allowOverlap="1" wp14:anchorId="335EE330" wp14:editId="5CCB7638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68580</wp:posOffset>
                  </wp:positionV>
                  <wp:extent cx="2390775" cy="1492250"/>
                  <wp:effectExtent l="0" t="0" r="9525" b="0"/>
                  <wp:wrapTight wrapText="bothSides">
                    <wp:wrapPolygon edited="0">
                      <wp:start x="0" y="0"/>
                      <wp:lineTo x="0" y="21232"/>
                      <wp:lineTo x="21514" y="21232"/>
                      <wp:lineTo x="21514" y="0"/>
                      <wp:lineTo x="0" y="0"/>
                    </wp:wrapPolygon>
                  </wp:wrapTight>
                  <wp:docPr id="11" name="Picture 11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AB" w14:textId="2D0C09A4" w:rsidR="000C6DC9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</w:t>
            </w:r>
            <w:bookmarkStart w:id="0" w:name="_Hlk529701035"/>
            <w:r w:rsidRPr="00A34140">
              <w:rPr>
                <w:rFonts w:ascii="Arial" w:hAnsi="Arial" w:cs="Arial"/>
                <w:i/>
                <w:sz w:val="24"/>
                <w:szCs w:val="24"/>
              </w:rPr>
              <w:t>Slike: Primjeri uređenja kupališta</w:t>
            </w:r>
            <w:bookmarkEnd w:id="0"/>
          </w:p>
          <w:p w14:paraId="335EE2AC" w14:textId="77777777" w:rsidR="00FD68B9" w:rsidRPr="00A34140" w:rsidRDefault="00FD68B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D" w14:textId="77777777" w:rsidR="00511986" w:rsidRPr="00511986" w:rsidRDefault="00511986" w:rsidP="005119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CD8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1D0CD8">
              <w:rPr>
                <w:rFonts w:ascii="Arial" w:hAnsi="Arial" w:cs="Arial"/>
                <w:sz w:val="24"/>
                <w:szCs w:val="24"/>
              </w:rPr>
              <w:t xml:space="preserve"> mobilijar (suncobrani/ležaljke/baldahini) koji se postavlja na kupalištu, kao i ostala oprema koja je u funkciji kupališta (kabine za presvlačenje i dr.) može biti samo u pastelnim bojama (bijela, bež i dr. ), a nikako sa reklamnim natpisima.</w:t>
            </w:r>
          </w:p>
          <w:p w14:paraId="335EE2AE" w14:textId="77777777" w:rsidR="000C6DC9" w:rsidRPr="00A34140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Pojas duž morske obale širine minimum 3m (mjereno za vrijeme plime) mora biti u potpunosti oslobođen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radi omogućavanja slobodnog kretanja i bezbjednog i nesmetanog ulaska kupača u more. </w:t>
            </w:r>
          </w:p>
          <w:p w14:paraId="335EE2B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1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59264" behindDoc="0" locked="0" layoutInCell="1" allowOverlap="1" wp14:anchorId="335EE334" wp14:editId="335EE335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69215</wp:posOffset>
                  </wp:positionV>
                  <wp:extent cx="1802130" cy="2336800"/>
                  <wp:effectExtent l="0" t="0" r="1270" b="0"/>
                  <wp:wrapTight wrapText="bothSides">
                    <wp:wrapPolygon edited="0">
                      <wp:start x="0" y="0"/>
                      <wp:lineTo x="0" y="21365"/>
                      <wp:lineTo x="21311" y="21365"/>
                      <wp:lineTo x="21311" y="0"/>
                      <wp:lineTo x="0" y="0"/>
                    </wp:wrapPolygon>
                  </wp:wrapTight>
                  <wp:docPr id="8" name="Picture 8" descr="serenitybox-saint-jean-cap-fer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enitybox-saint-jean-cap-fer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0288" behindDoc="0" locked="0" layoutInCell="1" allowOverlap="1" wp14:anchorId="335EE336" wp14:editId="335EE33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73660</wp:posOffset>
                  </wp:positionV>
                  <wp:extent cx="1773555" cy="2324100"/>
                  <wp:effectExtent l="0" t="0" r="4445" b="12700"/>
                  <wp:wrapTight wrapText="bothSides">
                    <wp:wrapPolygon edited="0">
                      <wp:start x="0" y="0"/>
                      <wp:lineTo x="0" y="21482"/>
                      <wp:lineTo x="21345" y="21482"/>
                      <wp:lineTo x="21345" y="0"/>
                      <wp:lineTo x="0" y="0"/>
                    </wp:wrapPolygon>
                  </wp:wrapTight>
                  <wp:docPr id="7" name="Picture 7" descr="consignes-plages_459x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nsignes-plages_459x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398">
              <w:rPr>
                <w:rFonts w:ascii="Arial" w:hAnsi="Arial" w:cs="Arial"/>
                <w:sz w:val="24"/>
                <w:szCs w:val="24"/>
              </w:rPr>
              <w:t>Moguće je postaviti s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ef na plaži </w:t>
            </w:r>
            <w:r w:rsidR="00475398">
              <w:rPr>
                <w:rFonts w:ascii="Arial" w:hAnsi="Arial" w:cs="Arial"/>
                <w:sz w:val="24"/>
                <w:szCs w:val="24"/>
              </w:rPr>
              <w:t xml:space="preserve">koji </w:t>
            </w:r>
            <w:r w:rsidRPr="00A34140">
              <w:rPr>
                <w:rFonts w:ascii="Arial" w:hAnsi="Arial" w:cs="Arial"/>
                <w:sz w:val="24"/>
                <w:szCs w:val="24"/>
              </w:rPr>
              <w:t>mora biti prefabrikovani objekat, kružne ili pravougaone osnove, visine do 200 cm, prečnika osnove do 160 cm, odnosno dimenzija do 1.2 x 1.2 m, a dimenzija pojedinačnog boksa je 40x40 cm.</w:t>
            </w:r>
          </w:p>
          <w:p w14:paraId="335EE2B2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Konstrukcija može da bude od nerđajućeg čelika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pocinčanog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u boji ili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aluminijuma. Montira se na ravnu daščanu podlogu. Izbor boja u velikoj mjeri zavisi od ambijenta. Poželjne boje su pastelne nijanse bež boje radi ambijentalnog uklapanja u okruženje;</w:t>
            </w:r>
          </w:p>
          <w:p w14:paraId="335EE2B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Sefovi na plaži se odobravaju po zahtjevu korisnika kupališta i mogu se odobriti na svim kupalištima bez potrebe dodatnog unošenja lokacije u grafički dio Programa. Poželjno ih je pozicionirati u blizini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barova, ukoliko postoje na kupalištu;</w:t>
            </w:r>
          </w:p>
          <w:p w14:paraId="335EE2B5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6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Na svakom kupalištu dužine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50m dozvoljeno je postaviti po jedno dječje igralište - privremeni objekat koji čini skup konstruktivnih elemenata, uređaja i druge opreme (na naduvavanje i sl.) koji se postavljaju na gotovu ili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>demontažnu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podlogu. To je prostorno definisana cjelina čije zauzeće površine zavisi od vrste i broja naprava za igru djece. Sve naprave moraju biti izrađene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savremenih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kvalitetnih materijala s potrebnim atestima;</w:t>
            </w:r>
          </w:p>
          <w:p w14:paraId="335EE2B7" w14:textId="77777777" w:rsidR="000C6DC9" w:rsidRPr="00A34140" w:rsidRDefault="000C6DC9" w:rsidP="000C6DC9">
            <w:pPr>
              <w:pStyle w:val="ListParagraph"/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8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Dječje igralište se postavlja na račun površine predviđene za smještaj ležaljki i njegova površina ne može biti veća od 5% površine kupališta;</w:t>
            </w:r>
          </w:p>
          <w:p w14:paraId="335EE2B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A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Otvorene površine u funkciji privremenog objekta koje se mogu naći na kupalištu su otvoreni sportski tereni (odbojka na pijesku,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badminton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mali fudbal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), dok se van površine, ali za potrebe kupališta mogu predvidjeti privremena parkirališta. </w:t>
            </w:r>
          </w:p>
          <w:p w14:paraId="335EE2BB" w14:textId="77777777" w:rsidR="00BE68C1" w:rsidRPr="00DD38A1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2B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B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BE" w14:textId="77777777" w:rsidR="002669FD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335EE2C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335EE2C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1" w14:textId="4B5AA852" w:rsidR="009000DD" w:rsidRPr="00DD38A1" w:rsidRDefault="000C6DC9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Kupalište označeno kao </w:t>
            </w:r>
            <w:r w:rsidR="00E7654A">
              <w:rPr>
                <w:rFonts w:ascii="Arial" w:hAnsi="Arial" w:cs="Arial"/>
                <w:b/>
                <w:bCs/>
                <w:sz w:val="24"/>
                <w:szCs w:val="24"/>
              </w:rPr>
              <w:t>13A</w:t>
            </w:r>
            <w:r w:rsidR="008C6299" w:rsidRP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kat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arc</w:t>
            </w:r>
            <w:r w:rsidR="00E765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9708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65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2559</w:t>
            </w:r>
            <w:r w:rsidR="00081B6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1566C3">
              <w:rPr>
                <w:rFonts w:ascii="Arial" w:hAnsi="Arial" w:cs="Arial"/>
                <w:b/>
                <w:bCs/>
                <w:sz w:val="24"/>
                <w:szCs w:val="24"/>
              </w:rPr>
              <w:t>Topla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, Op</w:t>
            </w:r>
            <w:r w:rsidR="003D661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tina Herceg Novi</w:t>
            </w:r>
            <w:r w:rsidR="008C6299"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C2" w14:textId="77777777" w:rsidR="002669FD" w:rsidRPr="00A3414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CE2" w:rsidRPr="007B3552" w14:paraId="68AA7E56" w14:textId="77777777" w:rsidTr="002E2290">
        <w:trPr>
          <w:trHeight w:val="296"/>
          <w:jc w:val="center"/>
        </w:trPr>
        <w:tc>
          <w:tcPr>
            <w:tcW w:w="1087" w:type="dxa"/>
            <w:noWrap/>
            <w:vAlign w:val="center"/>
          </w:tcPr>
          <w:p w14:paraId="79DDA053" w14:textId="75261307" w:rsidR="00C63CE2" w:rsidRPr="00B0112E" w:rsidRDefault="00CA789C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0112E" w:rsidRPr="00B011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31" w:type="dxa"/>
            <w:gridSpan w:val="3"/>
            <w:noWrap/>
          </w:tcPr>
          <w:p w14:paraId="465C941A" w14:textId="215AB477" w:rsidR="00C63CE2" w:rsidRPr="00A34140" w:rsidRDefault="00B0112E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B0112E" w:rsidRPr="007B3552" w14:paraId="46BF9864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5872375F" w14:textId="77777777" w:rsidR="00B0112E" w:rsidRPr="00B0112E" w:rsidRDefault="00B0112E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</w:tcPr>
          <w:p w14:paraId="3DC433F0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</w:p>
          <w:p w14:paraId="2B09601F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21B94840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 sredinu (prekomjerna buka, štetna isparenja, opasni otpad i sl.).</w:t>
            </w:r>
          </w:p>
          <w:p w14:paraId="5C15818F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C31313" w14:textId="087F1058" w:rsidR="00B0112E" w:rsidRPr="007B3552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Tehničkom dokumentacijom predvidjeti uslove i mjere za zaštitu životne sredine u skladu sa odredbama Zakona o procjeni uticaja na životnu sredinu („Službeni list CG“, br.80/05, 40/10, 73/10, 40/11, 27/13 i 52/16) i Zakonom za zaštitu prirode („Službeni list CG“, br.54/16</w:t>
            </w:r>
            <w:r w:rsidR="00B70CDD">
              <w:rPr>
                <w:rFonts w:ascii="Arial" w:hAnsi="Arial" w:cs="Arial"/>
                <w:sz w:val="24"/>
                <w:szCs w:val="24"/>
              </w:rPr>
              <w:t>,018/19</w:t>
            </w:r>
            <w:r w:rsidRPr="002046B0">
              <w:rPr>
                <w:rFonts w:ascii="Arial" w:hAnsi="Arial" w:cs="Arial"/>
                <w:sz w:val="24"/>
                <w:szCs w:val="24"/>
              </w:rPr>
              <w:t>) 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335EE2C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4" w14:textId="46A4B2D4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5" w14:textId="77777777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</w:p>
        </w:tc>
      </w:tr>
      <w:tr w:rsidR="007B3552" w:rsidRPr="007B3552" w14:paraId="335EE2CB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335EE2C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8" w14:textId="77777777" w:rsidR="007B3552" w:rsidRPr="002046B0" w:rsidRDefault="007B3552" w:rsidP="001F6D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DD38A1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dzemnih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tacije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D38A1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335EE2C9" w14:textId="77777777" w:rsidR="007B3552" w:rsidRDefault="007B3552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CA04B76" w14:textId="77777777" w:rsidR="008C6299" w:rsidRDefault="008C6299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302DD0" w14:textId="77777777" w:rsidR="00C129DF" w:rsidRPr="008C6299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35A70AF" w14:textId="77777777" w:rsidR="00C129DF" w:rsidRPr="008C6299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546F9A34" w14:textId="62EEAF0D" w:rsidR="003D6615" w:rsidRPr="00DD38A1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335EE2CA" w14:textId="77777777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C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C" w14:textId="77DB5C5B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D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335EE2D1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CF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CF240AC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obezbjediti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335EE2D0" w14:textId="77777777" w:rsidR="008C6D7E" w:rsidRPr="007B3552" w:rsidRDefault="008C6D7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2" w14:textId="1803C733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3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335EE2D9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D5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D6" w14:textId="77777777" w:rsidR="005D2DD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</w:t>
            </w:r>
            <w:proofErr w:type="spellStart"/>
            <w:r w:rsidR="004D3A5C" w:rsidRPr="002046B0">
              <w:rPr>
                <w:rFonts w:ascii="Arial" w:hAnsi="Arial" w:cs="Arial"/>
                <w:sz w:val="24"/>
                <w:szCs w:val="24"/>
              </w:rPr>
              <w:t>elektrodistribucija</w:t>
            </w:r>
            <w:proofErr w:type="spellEnd"/>
            <w:r w:rsidR="004D3A5C" w:rsidRPr="002046B0">
              <w:rPr>
                <w:rFonts w:ascii="Arial" w:hAnsi="Arial" w:cs="Arial"/>
                <w:sz w:val="24"/>
                <w:szCs w:val="24"/>
              </w:rPr>
              <w:t>), kao i uslovima koji proizilaze iz Zakona o bezbjednosti hrane;</w:t>
            </w:r>
          </w:p>
          <w:p w14:paraId="4B663302" w14:textId="77777777" w:rsidR="008C6D7E" w:rsidRPr="002046B0" w:rsidRDefault="008C6D7E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D7" w14:textId="77777777" w:rsidR="000E2C85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uz uređeno kupalište i u njegovom zaleđu, gdje za to postoje infrastrukturni priključci može se odobriti postavljanje montažno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</w:rPr>
              <w:t xml:space="preserve"> sanitarnih objekata u površinama srazmjerno veličini ugostiteljskog objekta, odnosno kupališta i zakonskim propisima bez potrebe predviđanja istih u grafičkom dijelu plana objekata privremenog karaktera. Na kupalištima i u njihovom zaleđu sanitarni objekti mogu biti i kontejnerskog tipa; </w:t>
            </w:r>
          </w:p>
          <w:p w14:paraId="1707DEA0" w14:textId="77777777" w:rsidR="008C6D7E" w:rsidRPr="002046B0" w:rsidRDefault="008C6D7E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8EBB34" w14:textId="77777777" w:rsidR="00727CDC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  <w:p w14:paraId="335EE2D8" w14:textId="77777777" w:rsidR="008C6D7E" w:rsidRPr="007B3552" w:rsidRDefault="008C6D7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A" w14:textId="08CA6766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B" w14:textId="528639D2" w:rsidR="00C13853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B509D3" w:rsidRPr="007B3552" w14:paraId="5A76FCD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58538F65" w14:textId="62F5279D" w:rsidR="00B509D3" w:rsidRDefault="00011110" w:rsidP="0001111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10.1</w:t>
            </w:r>
          </w:p>
        </w:tc>
        <w:tc>
          <w:tcPr>
            <w:tcW w:w="8831" w:type="dxa"/>
            <w:gridSpan w:val="3"/>
            <w:noWrap/>
            <w:vAlign w:val="center"/>
          </w:tcPr>
          <w:p w14:paraId="18B1076F" w14:textId="3E1FCA9C" w:rsidR="00B509D3" w:rsidRPr="007B3552" w:rsidRDefault="00011110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C13853" w:rsidRPr="007B3552" w14:paraId="0C26B2D3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AE1AA61" w14:textId="77777777" w:rsidR="00C13853" w:rsidRDefault="00C13853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62DE0EEC" w14:textId="77777777" w:rsidR="00DA4C5B" w:rsidRPr="00AE5BAF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7BEF4C85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•Tehnička preporuka za priključke potrošača na niskonaponsku mrežu TP-2 (II dopunjeno izdanje)</w:t>
            </w:r>
          </w:p>
          <w:p w14:paraId="265793E3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–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Tipizacija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mjernih mjesta</w:t>
            </w:r>
          </w:p>
          <w:p w14:paraId="08D131D4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•Uputstvo i tehnički uslovi za izbor i ugradnju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ograničavača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strujnog opterećenja</w:t>
            </w:r>
          </w:p>
          <w:p w14:paraId="718831F9" w14:textId="77777777" w:rsidR="00C13853" w:rsidRDefault="00DA4C5B" w:rsidP="00DA4C5B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TP-1b - Distributivna transformatorska stanica   DTS – EPCG 10/0.4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</w:p>
          <w:p w14:paraId="5E5208C1" w14:textId="5C7134A2" w:rsidR="008C6D7E" w:rsidRPr="007B3552" w:rsidRDefault="008C6D7E" w:rsidP="00DA4C5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8" w14:textId="77777777" w:rsidTr="008E7CB4">
        <w:trPr>
          <w:trHeight w:val="690"/>
          <w:jc w:val="center"/>
        </w:trPr>
        <w:tc>
          <w:tcPr>
            <w:tcW w:w="1087" w:type="dxa"/>
            <w:noWrap/>
            <w:vAlign w:val="center"/>
            <w:hideMark/>
          </w:tcPr>
          <w:p w14:paraId="335EE2E5" w14:textId="4A1C98E8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1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E6" w14:textId="77777777" w:rsidR="00A34140" w:rsidRPr="007B3552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</w:t>
            </w:r>
            <w:r>
              <w:rPr>
                <w:rFonts w:ascii="Arial" w:hAnsi="Arial" w:cs="Arial"/>
                <w:sz w:val="24"/>
                <w:szCs w:val="24"/>
              </w:rPr>
              <w:t>44/18</w:t>
            </w:r>
            <w:r w:rsidRPr="007B3552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DBDA681" w14:textId="77777777" w:rsidR="00727CDC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335EE2E7" w14:textId="77777777" w:rsidR="008C6D7E" w:rsidRPr="007B3552" w:rsidRDefault="008C6D7E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EB" w14:textId="3FB7095E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EC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29A67086" w14:textId="77777777" w:rsidR="001D0CD8" w:rsidRDefault="00E57BED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Potrebno je uraditi I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dejno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rješenje privremenih objekata na kupalištu </w:t>
            </w:r>
            <w:r>
              <w:rPr>
                <w:rFonts w:ascii="Arial" w:hAnsi="Arial" w:cs="Arial"/>
                <w:b/>
                <w:sz w:val="24"/>
                <w:szCs w:val="24"/>
              </w:rPr>
              <w:t>sa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dispozicijom</w:t>
            </w:r>
            <w:r w:rsidR="00666D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pokretnih privremenih objekata na osnovu </w:t>
            </w:r>
            <w:r w:rsidR="001D0CD8" w:rsidRPr="001D0CD8">
              <w:rPr>
                <w:rFonts w:ascii="Arial" w:hAnsi="Arial" w:cs="Arial"/>
                <w:b/>
                <w:sz w:val="24"/>
                <w:szCs w:val="24"/>
              </w:rPr>
              <w:t xml:space="preserve">ovih UTU,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Uslova za </w:t>
            </w:r>
            <w:r w:rsidR="001D0CD8">
              <w:rPr>
                <w:rFonts w:ascii="Arial" w:hAnsi="Arial" w:cs="Arial"/>
                <w:b/>
                <w:sz w:val="24"/>
                <w:szCs w:val="24"/>
              </w:rPr>
              <w:t>organizaciju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kupališta koji su sastavni dio ovih UTU i 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fotografij</w:t>
            </w:r>
            <w:r>
              <w:rPr>
                <w:rFonts w:ascii="Arial" w:hAnsi="Arial" w:cs="Arial"/>
                <w:b/>
                <w:sz w:val="24"/>
                <w:szCs w:val="24"/>
              </w:rPr>
              <w:t>ama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objekata za koje nije tražena izrada Idejnog rješenja </w:t>
            </w:r>
          </w:p>
          <w:p w14:paraId="335EE2ED" w14:textId="77777777" w:rsidR="008C6D7E" w:rsidRPr="002B3A68" w:rsidRDefault="008C6D7E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7B3552" w:rsidRPr="007B3552" w14:paraId="335EE2F3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335EE2EF" w14:textId="5297222B" w:rsidR="00727CDC" w:rsidRPr="007B3552" w:rsidRDefault="002A2868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5EE2F1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27A61234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335EE2F2" w14:textId="77777777" w:rsidR="008C6D7E" w:rsidRPr="007B3552" w:rsidRDefault="008C6D7E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7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4" w14:textId="19D5683B" w:rsidR="008E7CB4" w:rsidRPr="007B3552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5" w14:textId="32A7EEB8" w:rsidR="008E7CB4" w:rsidRDefault="008E7CB4" w:rsidP="003F09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- 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U skladu sa članom br. 40 Zakona o zaštiti prirode (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sl.list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Crne Gore 54/16</w:t>
            </w:r>
            <w:r w:rsidR="00B70CD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,018/19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) potrebno je od Agencije za zaštitu prirode i životne sredine pribaviti </w:t>
            </w:r>
            <w:r w:rsidR="00F84A1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335EE2F6" w14:textId="77777777" w:rsidR="008E7CB4" w:rsidRPr="007B355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B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8" w14:textId="144B3582" w:rsidR="008E7CB4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A" w14:textId="6F4617D2" w:rsidR="003F0952" w:rsidRPr="00F84A14" w:rsidRDefault="008E7CB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ovjerenu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kopiju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</w:t>
            </w:r>
            <w:proofErr w:type="spellStart"/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g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je to traženo)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 zaštićenom području izdatu od strane Agencije za zaštitu prirode i životne sredine</w:t>
            </w:r>
            <w:r w:rsidR="0079656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S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aglasnost Up</w:t>
            </w:r>
            <w:r w:rsidR="008C6299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ave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zaštitu kulturnih dobara</w:t>
            </w:r>
            <w:r w:rsid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>-</w:t>
            </w:r>
            <w:r w:rsidR="003F0952"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="003F0952"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="003F0952"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</w:t>
            </w:r>
            <w:r w:rsidR="003F0952" w:rsidRPr="008C6299">
              <w:rPr>
                <w:rFonts w:ascii="Arial" w:hAnsi="Arial" w:cs="Arial"/>
                <w:sz w:val="24"/>
                <w:szCs w:val="24"/>
              </w:rPr>
              <w:t xml:space="preserve">prijavu sa svom tehničkom dokumentacijom i Saglasnostima, Dozvolama traženim UTU </w:t>
            </w:r>
            <w:r w:rsidR="00184B10" w:rsidRPr="008C6299">
              <w:rPr>
                <w:rFonts w:ascii="Arial" w:hAnsi="Arial" w:cs="Arial"/>
                <w:sz w:val="24"/>
                <w:szCs w:val="24"/>
              </w:rPr>
              <w:t>nadležnom inspekcijskom organu lokalne uprave</w:t>
            </w:r>
          </w:p>
        </w:tc>
      </w:tr>
      <w:tr w:rsidR="007B3552" w:rsidRPr="007B3552" w14:paraId="335EE30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FC" w14:textId="3CFC9C83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FD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FE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774FB" w14:textId="77777777" w:rsidR="00184B10" w:rsidRDefault="00184B10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484CD3">
              <w:rPr>
                <w:rFonts w:ascii="Arial" w:hAnsi="Arial" w:cs="Arial"/>
                <w:sz w:val="22"/>
                <w:szCs w:val="22"/>
              </w:rPr>
              <w:t>dležnom inspekcijskom organu lokalne uprave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300" w14:textId="3252BBB2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35EE301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335EE30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3" w14:textId="0BF3CC8D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4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51B5E059" w14:textId="77777777" w:rsidR="009C497B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305" w14:textId="79BE78BC" w:rsidR="002E2290" w:rsidRPr="007B3552" w:rsidRDefault="002E2290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0A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307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335EE308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5EE309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30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B" w14:textId="12FEB187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C" w14:textId="0EB82F85" w:rsidR="00727CDC" w:rsidRPr="007B3552" w:rsidRDefault="002E2290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71789E49" w14:textId="77777777" w:rsidR="00727CD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30D" w14:textId="496C9D49" w:rsidR="002E2290" w:rsidRPr="00C91983" w:rsidRDefault="002E229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12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30F" w14:textId="59BDFE3F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335EE310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335EE311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335EE316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A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E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22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335EE31F" w14:textId="3E8904DD" w:rsidR="0016116A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89C">
              <w:rPr>
                <w:rFonts w:ascii="Arial" w:hAnsi="Arial" w:cs="Arial"/>
                <w:sz w:val="24"/>
                <w:szCs w:val="24"/>
              </w:rPr>
              <w:t>20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335EE320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335EE321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335EE327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335EE323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32B3511E" w14:textId="77777777" w:rsidR="004C5A71" w:rsidRDefault="00D5511F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Grafički prilog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iz</w:t>
            </w:r>
            <w:r w:rsidR="00BF14CC">
              <w:rPr>
                <w:rFonts w:ascii="Arial" w:hAnsi="Arial" w:cs="Arial"/>
                <w:sz w:val="24"/>
                <w:szCs w:val="24"/>
              </w:rPr>
              <w:t xml:space="preserve"> Izmjena i dopuna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B10">
              <w:rPr>
                <w:rFonts w:ascii="Arial" w:hAnsi="Arial" w:cs="Arial"/>
                <w:sz w:val="24"/>
                <w:szCs w:val="24"/>
              </w:rPr>
              <w:t xml:space="preserve">Programa privremenih objekata </w:t>
            </w:r>
          </w:p>
          <w:p w14:paraId="335EE325" w14:textId="1F9FE911" w:rsidR="00001EB3" w:rsidRPr="007B3552" w:rsidRDefault="00A34140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Uslovi za organizaciju kupališta</w:t>
            </w:r>
          </w:p>
        </w:tc>
        <w:tc>
          <w:tcPr>
            <w:tcW w:w="4138" w:type="dxa"/>
            <w:gridSpan w:val="2"/>
            <w:noWrap/>
          </w:tcPr>
          <w:p w14:paraId="335EE326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EE328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9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A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6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A1BE" w14:textId="77777777" w:rsidR="00A17859" w:rsidRDefault="00A17859" w:rsidP="0016116A">
      <w:pPr>
        <w:spacing w:after="0" w:line="240" w:lineRule="auto"/>
      </w:pPr>
      <w:r>
        <w:separator/>
      </w:r>
    </w:p>
  </w:endnote>
  <w:endnote w:type="continuationSeparator" w:id="0">
    <w:p w14:paraId="0ED46A93" w14:textId="77777777" w:rsidR="00A17859" w:rsidRDefault="00A1785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E33C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EE33D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E73D" w14:textId="77777777" w:rsidR="00A17859" w:rsidRDefault="00A17859" w:rsidP="0016116A">
      <w:pPr>
        <w:spacing w:after="0" w:line="240" w:lineRule="auto"/>
      </w:pPr>
      <w:r>
        <w:separator/>
      </w:r>
    </w:p>
  </w:footnote>
  <w:footnote w:type="continuationSeparator" w:id="0">
    <w:p w14:paraId="0232E6A4" w14:textId="77777777" w:rsidR="00A17859" w:rsidRDefault="00A1785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8FC"/>
    <w:multiLevelType w:val="hybridMultilevel"/>
    <w:tmpl w:val="668205DA"/>
    <w:lvl w:ilvl="0" w:tplc="B41E8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2A3F"/>
    <w:multiLevelType w:val="hybridMultilevel"/>
    <w:tmpl w:val="974E3A94"/>
    <w:lvl w:ilvl="0" w:tplc="AB8A607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7DF0"/>
    <w:multiLevelType w:val="hybridMultilevel"/>
    <w:tmpl w:val="5308AFAA"/>
    <w:lvl w:ilvl="0" w:tplc="0F2C83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D180ADA">
      <w:start w:val="1"/>
      <w:numFmt w:val="decimal"/>
      <w:lvlText w:val="14.%2"/>
      <w:lvlJc w:val="left"/>
      <w:pPr>
        <w:ind w:left="1866" w:hanging="360"/>
      </w:pPr>
      <w:rPr>
        <w:rFonts w:hint="default"/>
      </w:rPr>
    </w:lvl>
    <w:lvl w:ilvl="2" w:tplc="AEDE1FFE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1B7"/>
    <w:multiLevelType w:val="multilevel"/>
    <w:tmpl w:val="0FC2E410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7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A7225"/>
    <w:multiLevelType w:val="hybridMultilevel"/>
    <w:tmpl w:val="AFE6BEDE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73F24"/>
    <w:multiLevelType w:val="hybridMultilevel"/>
    <w:tmpl w:val="4D8ED470"/>
    <w:lvl w:ilvl="0" w:tplc="E51890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29378">
    <w:abstractNumId w:val="12"/>
  </w:num>
  <w:num w:numId="2" w16cid:durableId="665060930">
    <w:abstractNumId w:val="14"/>
  </w:num>
  <w:num w:numId="3" w16cid:durableId="2115635201">
    <w:abstractNumId w:val="20"/>
  </w:num>
  <w:num w:numId="4" w16cid:durableId="1719163866">
    <w:abstractNumId w:val="16"/>
  </w:num>
  <w:num w:numId="5" w16cid:durableId="601038113">
    <w:abstractNumId w:val="5"/>
  </w:num>
  <w:num w:numId="6" w16cid:durableId="278727220">
    <w:abstractNumId w:val="17"/>
  </w:num>
  <w:num w:numId="7" w16cid:durableId="800734867">
    <w:abstractNumId w:val="9"/>
  </w:num>
  <w:num w:numId="8" w16cid:durableId="1233472195">
    <w:abstractNumId w:val="15"/>
  </w:num>
  <w:num w:numId="9" w16cid:durableId="1958178612">
    <w:abstractNumId w:val="0"/>
  </w:num>
  <w:num w:numId="10" w16cid:durableId="315231873">
    <w:abstractNumId w:val="8"/>
  </w:num>
  <w:num w:numId="11" w16cid:durableId="767578694">
    <w:abstractNumId w:val="18"/>
  </w:num>
  <w:num w:numId="12" w16cid:durableId="1573469928">
    <w:abstractNumId w:val="3"/>
  </w:num>
  <w:num w:numId="13" w16cid:durableId="1997804527">
    <w:abstractNumId w:val="11"/>
  </w:num>
  <w:num w:numId="14" w16cid:durableId="153227417">
    <w:abstractNumId w:val="13"/>
  </w:num>
  <w:num w:numId="15" w16cid:durableId="1800802901">
    <w:abstractNumId w:val="7"/>
  </w:num>
  <w:num w:numId="16" w16cid:durableId="501285788">
    <w:abstractNumId w:val="4"/>
  </w:num>
  <w:num w:numId="17" w16cid:durableId="1542327810">
    <w:abstractNumId w:val="10"/>
  </w:num>
  <w:num w:numId="18" w16cid:durableId="112871890">
    <w:abstractNumId w:val="6"/>
  </w:num>
  <w:num w:numId="19" w16cid:durableId="703948060">
    <w:abstractNumId w:val="1"/>
  </w:num>
  <w:num w:numId="20" w16cid:durableId="1991862948">
    <w:abstractNumId w:val="19"/>
  </w:num>
  <w:num w:numId="21" w16cid:durableId="176804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1110"/>
    <w:rsid w:val="00015062"/>
    <w:rsid w:val="0002381A"/>
    <w:rsid w:val="00036405"/>
    <w:rsid w:val="0005186C"/>
    <w:rsid w:val="0006446D"/>
    <w:rsid w:val="000754D4"/>
    <w:rsid w:val="000765B9"/>
    <w:rsid w:val="00081B62"/>
    <w:rsid w:val="000831F6"/>
    <w:rsid w:val="00083F01"/>
    <w:rsid w:val="000949C3"/>
    <w:rsid w:val="00095C24"/>
    <w:rsid w:val="000A2649"/>
    <w:rsid w:val="000A54B4"/>
    <w:rsid w:val="000A5E5F"/>
    <w:rsid w:val="000B3110"/>
    <w:rsid w:val="000C6DC9"/>
    <w:rsid w:val="000D2B86"/>
    <w:rsid w:val="000D472C"/>
    <w:rsid w:val="000E04EF"/>
    <w:rsid w:val="000E1F16"/>
    <w:rsid w:val="000E2C85"/>
    <w:rsid w:val="000F4077"/>
    <w:rsid w:val="000F7077"/>
    <w:rsid w:val="000F7AB5"/>
    <w:rsid w:val="001000B1"/>
    <w:rsid w:val="00103490"/>
    <w:rsid w:val="00107510"/>
    <w:rsid w:val="00113A3E"/>
    <w:rsid w:val="0011715B"/>
    <w:rsid w:val="00125663"/>
    <w:rsid w:val="00134557"/>
    <w:rsid w:val="001347FB"/>
    <w:rsid w:val="0013594D"/>
    <w:rsid w:val="0015245F"/>
    <w:rsid w:val="001566C3"/>
    <w:rsid w:val="0016116A"/>
    <w:rsid w:val="00184B10"/>
    <w:rsid w:val="00185344"/>
    <w:rsid w:val="0019653F"/>
    <w:rsid w:val="001A099B"/>
    <w:rsid w:val="001A189D"/>
    <w:rsid w:val="001A61E9"/>
    <w:rsid w:val="001D0CD8"/>
    <w:rsid w:val="001D7599"/>
    <w:rsid w:val="001E5F4F"/>
    <w:rsid w:val="001F1C79"/>
    <w:rsid w:val="001F6D4F"/>
    <w:rsid w:val="002037B6"/>
    <w:rsid w:val="0020380E"/>
    <w:rsid w:val="002046B0"/>
    <w:rsid w:val="002122EA"/>
    <w:rsid w:val="002156BF"/>
    <w:rsid w:val="00224BF6"/>
    <w:rsid w:val="00232131"/>
    <w:rsid w:val="00236339"/>
    <w:rsid w:val="00236CAB"/>
    <w:rsid w:val="002372B5"/>
    <w:rsid w:val="0024505B"/>
    <w:rsid w:val="00255935"/>
    <w:rsid w:val="00260C25"/>
    <w:rsid w:val="00265AD8"/>
    <w:rsid w:val="002669FD"/>
    <w:rsid w:val="00277DD3"/>
    <w:rsid w:val="002804B9"/>
    <w:rsid w:val="00286F51"/>
    <w:rsid w:val="00294EBC"/>
    <w:rsid w:val="002A2868"/>
    <w:rsid w:val="002A4955"/>
    <w:rsid w:val="002B19A6"/>
    <w:rsid w:val="002B2ED5"/>
    <w:rsid w:val="002B3A68"/>
    <w:rsid w:val="002C157A"/>
    <w:rsid w:val="002C21AA"/>
    <w:rsid w:val="002D239E"/>
    <w:rsid w:val="002E1867"/>
    <w:rsid w:val="002E2290"/>
    <w:rsid w:val="002F2766"/>
    <w:rsid w:val="002F684A"/>
    <w:rsid w:val="002F7118"/>
    <w:rsid w:val="002F7135"/>
    <w:rsid w:val="0030220E"/>
    <w:rsid w:val="00325C7E"/>
    <w:rsid w:val="00345551"/>
    <w:rsid w:val="00357388"/>
    <w:rsid w:val="003610B5"/>
    <w:rsid w:val="003770BA"/>
    <w:rsid w:val="00377CC8"/>
    <w:rsid w:val="003856FD"/>
    <w:rsid w:val="003857D4"/>
    <w:rsid w:val="00392A78"/>
    <w:rsid w:val="003B5350"/>
    <w:rsid w:val="003B6242"/>
    <w:rsid w:val="003C4733"/>
    <w:rsid w:val="003C767C"/>
    <w:rsid w:val="003D6615"/>
    <w:rsid w:val="003E648F"/>
    <w:rsid w:val="003F0952"/>
    <w:rsid w:val="004017D2"/>
    <w:rsid w:val="00407029"/>
    <w:rsid w:val="0041540F"/>
    <w:rsid w:val="00426049"/>
    <w:rsid w:val="00433A4D"/>
    <w:rsid w:val="00435883"/>
    <w:rsid w:val="00443B96"/>
    <w:rsid w:val="00447B22"/>
    <w:rsid w:val="0045279B"/>
    <w:rsid w:val="00467A05"/>
    <w:rsid w:val="00470AE3"/>
    <w:rsid w:val="00472D0C"/>
    <w:rsid w:val="0047326F"/>
    <w:rsid w:val="00475398"/>
    <w:rsid w:val="00480747"/>
    <w:rsid w:val="004864E0"/>
    <w:rsid w:val="00490505"/>
    <w:rsid w:val="00492416"/>
    <w:rsid w:val="004A2432"/>
    <w:rsid w:val="004B2B22"/>
    <w:rsid w:val="004B49AC"/>
    <w:rsid w:val="004C492F"/>
    <w:rsid w:val="004C5A71"/>
    <w:rsid w:val="004C615B"/>
    <w:rsid w:val="004D3741"/>
    <w:rsid w:val="004D3A5C"/>
    <w:rsid w:val="004D5F23"/>
    <w:rsid w:val="004D7D9C"/>
    <w:rsid w:val="004E0782"/>
    <w:rsid w:val="004E395F"/>
    <w:rsid w:val="00500AB3"/>
    <w:rsid w:val="005040AD"/>
    <w:rsid w:val="005053D0"/>
    <w:rsid w:val="00511986"/>
    <w:rsid w:val="0052681D"/>
    <w:rsid w:val="00530127"/>
    <w:rsid w:val="00537B52"/>
    <w:rsid w:val="0055402A"/>
    <w:rsid w:val="00565D22"/>
    <w:rsid w:val="005821A1"/>
    <w:rsid w:val="005927F6"/>
    <w:rsid w:val="005A5F0F"/>
    <w:rsid w:val="005B1D64"/>
    <w:rsid w:val="005B5E10"/>
    <w:rsid w:val="005B6A81"/>
    <w:rsid w:val="005C0561"/>
    <w:rsid w:val="005C116F"/>
    <w:rsid w:val="005D2DD2"/>
    <w:rsid w:val="005E2F91"/>
    <w:rsid w:val="005F3791"/>
    <w:rsid w:val="005F49B8"/>
    <w:rsid w:val="00605A14"/>
    <w:rsid w:val="00607997"/>
    <w:rsid w:val="00614670"/>
    <w:rsid w:val="00624B84"/>
    <w:rsid w:val="00633B05"/>
    <w:rsid w:val="006455B5"/>
    <w:rsid w:val="006463D9"/>
    <w:rsid w:val="00652743"/>
    <w:rsid w:val="00666D99"/>
    <w:rsid w:val="00667AA8"/>
    <w:rsid w:val="006746F6"/>
    <w:rsid w:val="00685DD8"/>
    <w:rsid w:val="0068778A"/>
    <w:rsid w:val="00687ACF"/>
    <w:rsid w:val="006C31BC"/>
    <w:rsid w:val="006D43C7"/>
    <w:rsid w:val="006E302B"/>
    <w:rsid w:val="006E5718"/>
    <w:rsid w:val="006F1FD7"/>
    <w:rsid w:val="006F7CE9"/>
    <w:rsid w:val="00704035"/>
    <w:rsid w:val="0070443B"/>
    <w:rsid w:val="007124D5"/>
    <w:rsid w:val="0072176C"/>
    <w:rsid w:val="00727CDC"/>
    <w:rsid w:val="0073095C"/>
    <w:rsid w:val="00730B36"/>
    <w:rsid w:val="00743DAA"/>
    <w:rsid w:val="00753FA7"/>
    <w:rsid w:val="00756235"/>
    <w:rsid w:val="007862DA"/>
    <w:rsid w:val="007929BD"/>
    <w:rsid w:val="00796565"/>
    <w:rsid w:val="007A4487"/>
    <w:rsid w:val="007A7269"/>
    <w:rsid w:val="007B3552"/>
    <w:rsid w:val="007B579B"/>
    <w:rsid w:val="007B57AD"/>
    <w:rsid w:val="007C103A"/>
    <w:rsid w:val="007D24C8"/>
    <w:rsid w:val="007D67CB"/>
    <w:rsid w:val="007D762A"/>
    <w:rsid w:val="007E01CA"/>
    <w:rsid w:val="007F5902"/>
    <w:rsid w:val="0080271A"/>
    <w:rsid w:val="00835481"/>
    <w:rsid w:val="008357A8"/>
    <w:rsid w:val="008374D5"/>
    <w:rsid w:val="00842010"/>
    <w:rsid w:val="00845371"/>
    <w:rsid w:val="00845F41"/>
    <w:rsid w:val="0085318D"/>
    <w:rsid w:val="00867171"/>
    <w:rsid w:val="00872565"/>
    <w:rsid w:val="00876347"/>
    <w:rsid w:val="00877971"/>
    <w:rsid w:val="00880822"/>
    <w:rsid w:val="0088119C"/>
    <w:rsid w:val="0088480C"/>
    <w:rsid w:val="008907E1"/>
    <w:rsid w:val="00893F5A"/>
    <w:rsid w:val="0089651B"/>
    <w:rsid w:val="008A00FF"/>
    <w:rsid w:val="008A43B4"/>
    <w:rsid w:val="008B089E"/>
    <w:rsid w:val="008B1DAB"/>
    <w:rsid w:val="008C6299"/>
    <w:rsid w:val="008C6BF5"/>
    <w:rsid w:val="008C6D7E"/>
    <w:rsid w:val="008D5A2C"/>
    <w:rsid w:val="008D5C45"/>
    <w:rsid w:val="008D5F69"/>
    <w:rsid w:val="008E7CB4"/>
    <w:rsid w:val="008F2399"/>
    <w:rsid w:val="009000DD"/>
    <w:rsid w:val="0090214F"/>
    <w:rsid w:val="00907B23"/>
    <w:rsid w:val="00912A2C"/>
    <w:rsid w:val="00916937"/>
    <w:rsid w:val="00921819"/>
    <w:rsid w:val="009234D4"/>
    <w:rsid w:val="00940854"/>
    <w:rsid w:val="00941B99"/>
    <w:rsid w:val="009708CE"/>
    <w:rsid w:val="009711AF"/>
    <w:rsid w:val="009A5003"/>
    <w:rsid w:val="009B447C"/>
    <w:rsid w:val="009B6699"/>
    <w:rsid w:val="009C497B"/>
    <w:rsid w:val="009D0BE9"/>
    <w:rsid w:val="009D69B8"/>
    <w:rsid w:val="009E328D"/>
    <w:rsid w:val="009E4CB8"/>
    <w:rsid w:val="00A078E7"/>
    <w:rsid w:val="00A17859"/>
    <w:rsid w:val="00A21EB3"/>
    <w:rsid w:val="00A22429"/>
    <w:rsid w:val="00A233B6"/>
    <w:rsid w:val="00A31AA8"/>
    <w:rsid w:val="00A34140"/>
    <w:rsid w:val="00A36C48"/>
    <w:rsid w:val="00A71435"/>
    <w:rsid w:val="00A837FC"/>
    <w:rsid w:val="00A83A97"/>
    <w:rsid w:val="00A905D8"/>
    <w:rsid w:val="00A91B7A"/>
    <w:rsid w:val="00A97F2B"/>
    <w:rsid w:val="00AB623E"/>
    <w:rsid w:val="00AC27C5"/>
    <w:rsid w:val="00AC34CF"/>
    <w:rsid w:val="00AC5846"/>
    <w:rsid w:val="00AE324B"/>
    <w:rsid w:val="00AE3C38"/>
    <w:rsid w:val="00AE5BAF"/>
    <w:rsid w:val="00AF0A1A"/>
    <w:rsid w:val="00B0112E"/>
    <w:rsid w:val="00B025EA"/>
    <w:rsid w:val="00B13ADD"/>
    <w:rsid w:val="00B169E7"/>
    <w:rsid w:val="00B175C1"/>
    <w:rsid w:val="00B2280D"/>
    <w:rsid w:val="00B261A8"/>
    <w:rsid w:val="00B26D17"/>
    <w:rsid w:val="00B30217"/>
    <w:rsid w:val="00B3068C"/>
    <w:rsid w:val="00B331C3"/>
    <w:rsid w:val="00B45EC2"/>
    <w:rsid w:val="00B468BE"/>
    <w:rsid w:val="00B4797A"/>
    <w:rsid w:val="00B509D3"/>
    <w:rsid w:val="00B53911"/>
    <w:rsid w:val="00B5647F"/>
    <w:rsid w:val="00B6577E"/>
    <w:rsid w:val="00B70CDD"/>
    <w:rsid w:val="00B72474"/>
    <w:rsid w:val="00B73041"/>
    <w:rsid w:val="00B73B5E"/>
    <w:rsid w:val="00B90321"/>
    <w:rsid w:val="00B9537D"/>
    <w:rsid w:val="00BA4143"/>
    <w:rsid w:val="00BB2ACE"/>
    <w:rsid w:val="00BE68C1"/>
    <w:rsid w:val="00BF14CC"/>
    <w:rsid w:val="00BF4976"/>
    <w:rsid w:val="00C06342"/>
    <w:rsid w:val="00C129DF"/>
    <w:rsid w:val="00C13853"/>
    <w:rsid w:val="00C20394"/>
    <w:rsid w:val="00C31A79"/>
    <w:rsid w:val="00C32740"/>
    <w:rsid w:val="00C3585C"/>
    <w:rsid w:val="00C530D0"/>
    <w:rsid w:val="00C63CE2"/>
    <w:rsid w:val="00C65E37"/>
    <w:rsid w:val="00C664AB"/>
    <w:rsid w:val="00C7478B"/>
    <w:rsid w:val="00C80838"/>
    <w:rsid w:val="00C91983"/>
    <w:rsid w:val="00C94F2F"/>
    <w:rsid w:val="00C97100"/>
    <w:rsid w:val="00CA1BD2"/>
    <w:rsid w:val="00CA292F"/>
    <w:rsid w:val="00CA789C"/>
    <w:rsid w:val="00CB6B6B"/>
    <w:rsid w:val="00CD2754"/>
    <w:rsid w:val="00D02CE4"/>
    <w:rsid w:val="00D2210A"/>
    <w:rsid w:val="00D251D8"/>
    <w:rsid w:val="00D3265C"/>
    <w:rsid w:val="00D33BFF"/>
    <w:rsid w:val="00D37A30"/>
    <w:rsid w:val="00D40E4C"/>
    <w:rsid w:val="00D450FD"/>
    <w:rsid w:val="00D5511F"/>
    <w:rsid w:val="00D704ED"/>
    <w:rsid w:val="00D82D12"/>
    <w:rsid w:val="00D83154"/>
    <w:rsid w:val="00D8675A"/>
    <w:rsid w:val="00D90125"/>
    <w:rsid w:val="00DA4C5B"/>
    <w:rsid w:val="00DB032D"/>
    <w:rsid w:val="00DB2CDF"/>
    <w:rsid w:val="00DB347E"/>
    <w:rsid w:val="00DB44FD"/>
    <w:rsid w:val="00DC0ACF"/>
    <w:rsid w:val="00DC1A1C"/>
    <w:rsid w:val="00DC5C97"/>
    <w:rsid w:val="00DD0C40"/>
    <w:rsid w:val="00DD38A1"/>
    <w:rsid w:val="00DD7E0D"/>
    <w:rsid w:val="00DE64A6"/>
    <w:rsid w:val="00E102CC"/>
    <w:rsid w:val="00E151B9"/>
    <w:rsid w:val="00E17461"/>
    <w:rsid w:val="00E17D82"/>
    <w:rsid w:val="00E314ED"/>
    <w:rsid w:val="00E32258"/>
    <w:rsid w:val="00E3229F"/>
    <w:rsid w:val="00E5084D"/>
    <w:rsid w:val="00E50E3B"/>
    <w:rsid w:val="00E52EC0"/>
    <w:rsid w:val="00E57BED"/>
    <w:rsid w:val="00E628EF"/>
    <w:rsid w:val="00E6419B"/>
    <w:rsid w:val="00E67301"/>
    <w:rsid w:val="00E70964"/>
    <w:rsid w:val="00E748E6"/>
    <w:rsid w:val="00E7654A"/>
    <w:rsid w:val="00E820CD"/>
    <w:rsid w:val="00E94574"/>
    <w:rsid w:val="00E97628"/>
    <w:rsid w:val="00EC53AE"/>
    <w:rsid w:val="00EC557E"/>
    <w:rsid w:val="00ED0A1A"/>
    <w:rsid w:val="00EF553A"/>
    <w:rsid w:val="00EF69DE"/>
    <w:rsid w:val="00F0017F"/>
    <w:rsid w:val="00F04485"/>
    <w:rsid w:val="00F0592E"/>
    <w:rsid w:val="00F14D61"/>
    <w:rsid w:val="00F228D5"/>
    <w:rsid w:val="00F420C3"/>
    <w:rsid w:val="00F467B7"/>
    <w:rsid w:val="00F6565C"/>
    <w:rsid w:val="00F776A5"/>
    <w:rsid w:val="00F842D7"/>
    <w:rsid w:val="00F84A14"/>
    <w:rsid w:val="00F8736A"/>
    <w:rsid w:val="00F9150D"/>
    <w:rsid w:val="00F939A8"/>
    <w:rsid w:val="00F96AB1"/>
    <w:rsid w:val="00FC403B"/>
    <w:rsid w:val="00FC4C0A"/>
    <w:rsid w:val="00FD2CEE"/>
    <w:rsid w:val="00FD68B9"/>
    <w:rsid w:val="00FE2ABD"/>
    <w:rsid w:val="00FE3AA2"/>
    <w:rsid w:val="00FE5879"/>
    <w:rsid w:val="00FE5E10"/>
    <w:rsid w:val="00FF03F2"/>
    <w:rsid w:val="00FF14BD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E225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0F68-E1FD-4C80-AF50-E07F25A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49</cp:revision>
  <cp:lastPrinted>2019-04-19T08:33:00Z</cp:lastPrinted>
  <dcterms:created xsi:type="dcterms:W3CDTF">2024-12-30T09:02:00Z</dcterms:created>
  <dcterms:modified xsi:type="dcterms:W3CDTF">2025-02-25T08:54:00Z</dcterms:modified>
</cp:coreProperties>
</file>