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EE225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335EE226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335EE229" w14:textId="0DD214E4" w:rsidR="005053D0" w:rsidRPr="00C20394" w:rsidRDefault="00845F41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t xml:space="preserve">NACRT-  </w:t>
      </w:r>
      <w:r w:rsidR="00743DAA"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="00743DAA" w:rsidRPr="00C20394">
        <w:rPr>
          <w:rFonts w:ascii="Arial" w:eastAsia="Calibri" w:hAnsi="Arial" w:cs="Arial"/>
          <w:b/>
          <w:sz w:val="32"/>
          <w:szCs w:val="32"/>
        </w:rPr>
        <w:t>TEHNIČKI USLOVI</w:t>
      </w:r>
    </w:p>
    <w:p w14:paraId="335EE22A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335EE236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335EE22B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335EE22C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335EE22D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335EE22E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5EE22F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5EE230" w14:textId="478552F4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335EE231" w14:textId="5621561B" w:rsidR="009B6699" w:rsidRPr="007B3552" w:rsidRDefault="00435883" w:rsidP="00B9537D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420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4C5A71">
              <w:rPr>
                <w:rFonts w:ascii="Arial" w:hAnsi="Arial" w:cs="Arial"/>
                <w:b/>
                <w:bCs/>
                <w:sz w:val="24"/>
                <w:szCs w:val="24"/>
              </w:rPr>
              <w:t>__________</w:t>
            </w:r>
            <w:r w:rsidR="00842010">
              <w:rPr>
                <w:rFonts w:ascii="Arial" w:hAnsi="Arial" w:cs="Arial"/>
                <w:b/>
                <w:bCs/>
                <w:sz w:val="24"/>
                <w:szCs w:val="24"/>
              </w:rPr>
              <w:t>2025.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335EE232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5EE233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5722A021" w14:textId="77777777" w:rsidR="002B2ED5" w:rsidRDefault="002B2ED5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335EE234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335EE235" w14:textId="587E2F5D" w:rsidR="00727CDC" w:rsidRPr="007B3552" w:rsidRDefault="002B2ED5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335EE32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59.25pt" o:ole="">
                  <v:imagedata r:id="rId8" o:title=""/>
                </v:shape>
                <o:OLEObject Type="Embed" ProgID="CorelDRAW.Graphic.9" ShapeID="_x0000_i1025" DrawAspect="Content" ObjectID="_1800959778" r:id="rId9"/>
              </w:object>
            </w:r>
          </w:p>
        </w:tc>
      </w:tr>
      <w:tr w:rsidR="007B3552" w:rsidRPr="007B3552" w14:paraId="335EE23A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335EE237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335EE238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335EE23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335EE23E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335EE23B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335EE23C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335EE23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335EE242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335EE23F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335EE240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335EE24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335EE246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335EE243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335EE244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335EE24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335EE248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335EE247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335EE24B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335EE249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335EE24A" w14:textId="5F4C2122" w:rsidR="00727CDC" w:rsidRPr="00A34140" w:rsidRDefault="00E86194" w:rsidP="00DD38A1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JAVNO PREDUZEĆE ZA UPRAVLJANJE MORSKIM DOBROM CRNE GORE - BUDVA</w:t>
            </w:r>
            <w:r>
              <w:rPr>
                <w:rFonts w:ascii="Arial" w:hAnsi="Arial" w:cs="Arial"/>
                <w:sz w:val="24"/>
                <w:szCs w:val="24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04-332/25-86/36od 12.02.2025. godine,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335EE24E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335EE24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335EE24D" w14:textId="126331D8" w:rsidR="00727CDC" w:rsidRPr="00A34140" w:rsidRDefault="00727CDC" w:rsidP="0061467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4140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335EE251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335EE24F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335EE250" w14:textId="77777777" w:rsidR="00727CDC" w:rsidRPr="00A34140" w:rsidRDefault="00727CDC" w:rsidP="0061467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4140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335EE254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335EE252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335EE253" w14:textId="79505435" w:rsidR="00727CDC" w:rsidRPr="00A34140" w:rsidRDefault="00D5511F" w:rsidP="000765B9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 w:rsidRPr="00A34140">
              <w:rPr>
                <w:rFonts w:ascii="Arial" w:hAnsi="Arial" w:cs="Arial"/>
                <w:sz w:val="24"/>
                <w:szCs w:val="24"/>
              </w:rPr>
              <w:t>postavljanje privremen</w:t>
            </w:r>
            <w:r w:rsidR="008907E1" w:rsidRPr="00A34140">
              <w:rPr>
                <w:rFonts w:ascii="Arial" w:hAnsi="Arial" w:cs="Arial"/>
                <w:sz w:val="24"/>
                <w:szCs w:val="24"/>
              </w:rPr>
              <w:t>ih objekata</w:t>
            </w:r>
            <w:r w:rsidR="00A36C48" w:rsidRPr="00A341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77971" w:rsidRPr="00A34140">
              <w:rPr>
                <w:rFonts w:ascii="Arial" w:hAnsi="Arial" w:cs="Arial"/>
                <w:sz w:val="24"/>
                <w:szCs w:val="24"/>
              </w:rPr>
              <w:t xml:space="preserve">na kupalištu označenom </w:t>
            </w:r>
            <w:r w:rsidR="006E5718" w:rsidRPr="00A34140">
              <w:rPr>
                <w:rFonts w:ascii="Arial" w:hAnsi="Arial" w:cs="Arial"/>
                <w:sz w:val="24"/>
                <w:szCs w:val="24"/>
              </w:rPr>
              <w:t>br</w:t>
            </w:r>
            <w:r w:rsidR="00DD38A1">
              <w:rPr>
                <w:rFonts w:ascii="Arial" w:hAnsi="Arial" w:cs="Arial"/>
                <w:sz w:val="24"/>
                <w:szCs w:val="24"/>
              </w:rPr>
              <w:t>ojem</w:t>
            </w:r>
            <w:r w:rsidR="000765B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A050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A2D71">
              <w:rPr>
                <w:rFonts w:ascii="Arial" w:hAnsi="Arial" w:cs="Arial"/>
                <w:b/>
                <w:sz w:val="24"/>
                <w:szCs w:val="24"/>
              </w:rPr>
              <w:t>9A2</w:t>
            </w:r>
            <w:r w:rsidR="00DD38A1" w:rsidRPr="00DD38A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 w:rsidRPr="00A34140">
              <w:rPr>
                <w:rFonts w:ascii="Arial" w:hAnsi="Arial" w:cs="Arial"/>
                <w:sz w:val="24"/>
                <w:szCs w:val="24"/>
              </w:rPr>
              <w:t xml:space="preserve">u </w:t>
            </w:r>
            <w:r w:rsidR="00877971" w:rsidRPr="00935F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opštini </w:t>
            </w:r>
            <w:r w:rsidR="00DD38A1" w:rsidRPr="00935F18">
              <w:rPr>
                <w:rFonts w:ascii="Arial" w:hAnsi="Arial" w:cs="Arial"/>
                <w:b/>
                <w:bCs/>
                <w:sz w:val="24"/>
                <w:szCs w:val="24"/>
              </w:rPr>
              <w:t>Herceg Novi</w:t>
            </w:r>
            <w:r w:rsidR="00877971" w:rsidRPr="00A341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 w:rsidRPr="00A34140">
              <w:rPr>
                <w:rFonts w:ascii="Arial" w:hAnsi="Arial" w:cs="Arial"/>
                <w:sz w:val="24"/>
                <w:szCs w:val="24"/>
              </w:rPr>
              <w:t>predviđen</w:t>
            </w:r>
            <w:r w:rsidR="00DD38A1">
              <w:rPr>
                <w:rFonts w:ascii="Arial" w:hAnsi="Arial" w:cs="Arial"/>
                <w:sz w:val="24"/>
                <w:szCs w:val="24"/>
              </w:rPr>
              <w:t>i</w:t>
            </w:r>
            <w:r w:rsidRPr="00A341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 w:rsidRPr="00A34140">
              <w:rPr>
                <w:rFonts w:ascii="Arial" w:hAnsi="Arial" w:cs="Arial"/>
                <w:sz w:val="24"/>
                <w:szCs w:val="24"/>
              </w:rPr>
              <w:t>-</w:t>
            </w:r>
            <w:r w:rsidR="004C615B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935F18">
              <w:rPr>
                <w:rFonts w:ascii="Arial" w:hAnsi="Arial" w:cs="Arial"/>
                <w:sz w:val="24"/>
                <w:szCs w:val="24"/>
              </w:rPr>
              <w:t>a</w:t>
            </w:r>
            <w:r w:rsidR="00F9150D" w:rsidRPr="00A341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5883" w:rsidRPr="00A34140">
              <w:rPr>
                <w:rFonts w:ascii="Arial" w:hAnsi="Arial" w:cs="Arial"/>
                <w:sz w:val="24"/>
                <w:szCs w:val="24"/>
              </w:rPr>
              <w:t>Progra</w:t>
            </w:r>
            <w:r w:rsidR="004C615B">
              <w:rPr>
                <w:rFonts w:ascii="Arial" w:hAnsi="Arial" w:cs="Arial"/>
                <w:sz w:val="24"/>
                <w:szCs w:val="24"/>
              </w:rPr>
              <w:t>ma</w:t>
            </w:r>
            <w:r w:rsidR="00435883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</w:t>
            </w:r>
            <w:r w:rsidRPr="00A34140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DD38A1" w:rsidRPr="00DD38A1">
              <w:rPr>
                <w:rFonts w:ascii="Arial" w:hAnsi="Arial" w:cs="Arial"/>
                <w:sz w:val="24"/>
                <w:szCs w:val="24"/>
              </w:rPr>
              <w:t>Herceg Novi</w:t>
            </w:r>
            <w:r w:rsidR="003C767C" w:rsidRPr="00A341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C615B">
              <w:rPr>
                <w:rFonts w:ascii="Arial" w:hAnsi="Arial" w:cs="Arial"/>
                <w:sz w:val="24"/>
                <w:szCs w:val="24"/>
              </w:rPr>
              <w:t>2024-2028.</w:t>
            </w:r>
            <w:r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C615B">
              <w:rPr>
                <w:rFonts w:ascii="Arial" w:hAnsi="Arial" w:cs="Arial"/>
                <w:sz w:val="24"/>
                <w:szCs w:val="24"/>
              </w:rPr>
              <w:t>ine</w:t>
            </w:r>
            <w:r w:rsidR="008907E1" w:rsidRPr="00A3414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B3552" w:rsidRPr="007B3552" w14:paraId="335EE257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335EE255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335EE256" w14:textId="77777777" w:rsidR="00727CDC" w:rsidRPr="00A3414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335EE25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335EE258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335EE259" w14:textId="77777777" w:rsidR="00727CDC" w:rsidRPr="00A34140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65B9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0765B9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0765B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335EE25A" w14:textId="249FC145" w:rsidR="00727CDC" w:rsidRPr="004C615B" w:rsidRDefault="00727CDC" w:rsidP="000765B9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335EE25E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335EE25C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335EE25D" w14:textId="77777777" w:rsidR="00727CDC" w:rsidRPr="00A34140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4140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335EE26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335EE25F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335EE260" w14:textId="77777777" w:rsidR="0047326F" w:rsidRPr="00A34140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4140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 w:rsidRPr="00A3414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335EE2B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335EE262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335EE263" w14:textId="0AC236D5" w:rsidR="008357A8" w:rsidRPr="00A34140" w:rsidRDefault="000831F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-</w:t>
            </w:r>
            <w:r w:rsidR="008357A8" w:rsidRPr="00A34140">
              <w:rPr>
                <w:rFonts w:ascii="Arial" w:hAnsi="Arial" w:cs="Arial"/>
                <w:sz w:val="24"/>
                <w:szCs w:val="24"/>
              </w:rPr>
              <w:t xml:space="preserve">U sklopu uređenog kupališta </w:t>
            </w:r>
            <w:r w:rsidR="004A050E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7E44F1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6A2D71">
              <w:rPr>
                <w:rFonts w:ascii="Arial" w:hAnsi="Arial" w:cs="Arial"/>
                <w:b/>
                <w:bCs/>
                <w:sz w:val="24"/>
                <w:szCs w:val="24"/>
              </w:rPr>
              <w:t>A2</w:t>
            </w:r>
            <w:r w:rsidR="000A54B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907E1" w:rsidRPr="00A34140">
              <w:rPr>
                <w:rFonts w:ascii="Arial" w:hAnsi="Arial" w:cs="Arial"/>
                <w:sz w:val="24"/>
                <w:szCs w:val="24"/>
              </w:rPr>
              <w:t>propisuju</w:t>
            </w:r>
            <w:r w:rsidR="008357A8" w:rsidRPr="00A341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07E1" w:rsidRPr="00A34140">
              <w:rPr>
                <w:rFonts w:ascii="Arial" w:hAnsi="Arial" w:cs="Arial"/>
                <w:sz w:val="24"/>
                <w:szCs w:val="24"/>
              </w:rPr>
              <w:t>se urbanistički uslovi za postavljanje montažno-</w:t>
            </w:r>
            <w:proofErr w:type="spellStart"/>
            <w:r w:rsidR="008907E1" w:rsidRPr="00A34140">
              <w:rPr>
                <w:rFonts w:ascii="Arial" w:hAnsi="Arial" w:cs="Arial"/>
                <w:sz w:val="24"/>
                <w:szCs w:val="24"/>
              </w:rPr>
              <w:t>demontažnih</w:t>
            </w:r>
            <w:proofErr w:type="spellEnd"/>
            <w:r w:rsidR="00A34140">
              <w:rPr>
                <w:rFonts w:ascii="Arial" w:hAnsi="Arial" w:cs="Arial"/>
                <w:sz w:val="24"/>
                <w:szCs w:val="24"/>
              </w:rPr>
              <w:t xml:space="preserve"> i </w:t>
            </w:r>
            <w:r w:rsidR="008907E1" w:rsidRPr="00A34140">
              <w:rPr>
                <w:rFonts w:ascii="Arial" w:hAnsi="Arial" w:cs="Arial"/>
                <w:sz w:val="24"/>
                <w:szCs w:val="24"/>
              </w:rPr>
              <w:t xml:space="preserve"> pokretnih, privremenih objekata </w:t>
            </w:r>
            <w:r w:rsidR="00A34140">
              <w:rPr>
                <w:rFonts w:ascii="Arial" w:hAnsi="Arial" w:cs="Arial"/>
                <w:sz w:val="24"/>
                <w:szCs w:val="24"/>
              </w:rPr>
              <w:t xml:space="preserve">kao </w:t>
            </w:r>
            <w:r w:rsidR="008907E1" w:rsidRPr="00A34140">
              <w:rPr>
                <w:rFonts w:ascii="Arial" w:hAnsi="Arial" w:cs="Arial"/>
                <w:sz w:val="24"/>
                <w:szCs w:val="24"/>
              </w:rPr>
              <w:t>i otvorenih površina u funkciji privremenog objekta koji se mogu postavljati za potrebe uređenih kupališta</w:t>
            </w:r>
          </w:p>
          <w:p w14:paraId="335EE264" w14:textId="77777777" w:rsidR="000C6DC9" w:rsidRPr="00A34140" w:rsidRDefault="000C6DC9" w:rsidP="000C6D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5EE265" w14:textId="77777777" w:rsidR="000C6DC9" w:rsidRPr="00A34140" w:rsidRDefault="000C6DC9" w:rsidP="000C6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Na pješčanom dijelu odnosno prirodnoj obali u sklopu uređenih kupališta nije dozvoljeno postavljanje nepokretnih privremenih objekata;</w:t>
            </w:r>
          </w:p>
          <w:p w14:paraId="335EE266" w14:textId="77777777" w:rsidR="000C6DC9" w:rsidRPr="00A34140" w:rsidRDefault="000C6DC9" w:rsidP="00A341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5EE267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Na uređenim kupalištima je moguće postaviti rampe za ulazak u more lica sa invaliditetom, u skladu sa prostornim mogućnostima, bez potrebe unošenja lokacija u grafički dio Programa.</w:t>
            </w:r>
          </w:p>
          <w:p w14:paraId="335EE268" w14:textId="77777777" w:rsidR="000C6DC9" w:rsidRPr="00A34140" w:rsidRDefault="000C6DC9" w:rsidP="000C6DC9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335EE269" w14:textId="77777777" w:rsidR="000C6DC9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34140">
              <w:rPr>
                <w:rFonts w:ascii="Arial" w:hAnsi="Arial" w:cs="Arial"/>
                <w:sz w:val="24"/>
                <w:szCs w:val="24"/>
                <w:lang w:eastAsia="ar-SA"/>
              </w:rPr>
              <w:t>Montažno-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  <w:lang w:eastAsia="ar-SA"/>
              </w:rPr>
              <w:t>demontažni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  <w:lang w:eastAsia="ar-SA"/>
              </w:rPr>
              <w:t xml:space="preserve"> privremeni objekti na kupalištu se nakon sezone mogu ukloniti sa površine kupališta ili ostaviti na kupalištu uz obavezno konzerviranje u skladu sa smjernicama za konzerviranje privremenih objekata koje su dio ovog Programa;</w:t>
            </w:r>
          </w:p>
          <w:p w14:paraId="335EE26A" w14:textId="77777777" w:rsidR="00A34140" w:rsidRPr="00A34140" w:rsidRDefault="00A34140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14:paraId="335EE26B" w14:textId="33986010" w:rsidR="000C6DC9" w:rsidRPr="00A34140" w:rsidRDefault="000C6DC9" w:rsidP="000C6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A34140">
              <w:rPr>
                <w:rFonts w:ascii="Arial" w:hAnsi="Arial" w:cs="Arial"/>
                <w:b/>
                <w:sz w:val="24"/>
                <w:szCs w:val="24"/>
              </w:rPr>
              <w:t>Urbanistički uslovi za postavljanje spasilačke osmatračnice i spasilačkog punkta</w:t>
            </w:r>
          </w:p>
          <w:p w14:paraId="335EE26C" w14:textId="52C51FB5" w:rsidR="000C6DC9" w:rsidRPr="00A34140" w:rsidRDefault="00845F41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noProof/>
                <w:sz w:val="24"/>
                <w:szCs w:val="24"/>
                <w:lang w:eastAsia="sr-Latn-ME"/>
              </w:rPr>
              <w:drawing>
                <wp:anchor distT="0" distB="0" distL="114300" distR="114300" simplePos="0" relativeHeight="251663360" behindDoc="0" locked="0" layoutInCell="1" allowOverlap="1" wp14:anchorId="335EE32C" wp14:editId="30B4079A">
                  <wp:simplePos x="0" y="0"/>
                  <wp:positionH relativeFrom="column">
                    <wp:posOffset>2513330</wp:posOffset>
                  </wp:positionH>
                  <wp:positionV relativeFrom="paragraph">
                    <wp:posOffset>140970</wp:posOffset>
                  </wp:positionV>
                  <wp:extent cx="3014345" cy="1878965"/>
                  <wp:effectExtent l="0" t="0" r="0" b="6985"/>
                  <wp:wrapTight wrapText="bothSides">
                    <wp:wrapPolygon edited="0">
                      <wp:start x="0" y="0"/>
                      <wp:lineTo x="0" y="21461"/>
                      <wp:lineTo x="21432" y="21461"/>
                      <wp:lineTo x="21432" y="0"/>
                      <wp:lineTo x="0" y="0"/>
                    </wp:wrapPolygon>
                  </wp:wrapTight>
                  <wp:docPr id="12" name="Picture 12" descr="https://mapio.net/images-p/480166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mapio.net/images-p/4801668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684" b="7214"/>
                          <a:stretch/>
                        </pic:blipFill>
                        <pic:spPr bwMode="auto">
                          <a:xfrm>
                            <a:off x="0" y="0"/>
                            <a:ext cx="3014345" cy="1878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5EE26D" w14:textId="6B23AD88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 xml:space="preserve">Spasilačka osmatračnica i spasilački punkt postavljaju se na djelovima kupališta sa većom koncentracijom kupača, na pozicijama koje obezbjeđuju dobru preglednost kupališta i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akvatorijuma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, po mogućnosti na prirodnom uzvišenju. </w:t>
            </w:r>
          </w:p>
          <w:p w14:paraId="335EE26E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Površina spasilačke osmatračnice u osnovi može biti do 4m2</w:t>
            </w:r>
          </w:p>
          <w:p w14:paraId="335EE26F" w14:textId="66BE4B3A" w:rsidR="000C6DC9" w:rsidRDefault="00845F41" w:rsidP="00A34140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noProof/>
                <w:sz w:val="24"/>
                <w:szCs w:val="24"/>
                <w:lang w:eastAsia="sr-Latn-ME"/>
              </w:rPr>
              <w:drawing>
                <wp:anchor distT="0" distB="0" distL="114300" distR="114300" simplePos="0" relativeHeight="251664384" behindDoc="0" locked="0" layoutInCell="1" allowOverlap="1" wp14:anchorId="335EE32E" wp14:editId="282796AE">
                  <wp:simplePos x="0" y="0"/>
                  <wp:positionH relativeFrom="column">
                    <wp:posOffset>2504440</wp:posOffset>
                  </wp:positionH>
                  <wp:positionV relativeFrom="paragraph">
                    <wp:posOffset>278130</wp:posOffset>
                  </wp:positionV>
                  <wp:extent cx="3013710" cy="1875790"/>
                  <wp:effectExtent l="0" t="0" r="0" b="0"/>
                  <wp:wrapTight wrapText="bothSides">
                    <wp:wrapPolygon edited="0">
                      <wp:start x="0" y="0"/>
                      <wp:lineTo x="0" y="21278"/>
                      <wp:lineTo x="21436" y="21278"/>
                      <wp:lineTo x="21436" y="0"/>
                      <wp:lineTo x="0" y="0"/>
                    </wp:wrapPolygon>
                  </wp:wrapTight>
                  <wp:docPr id="13" name="Picture 13" descr="ezultat slika za baywatch to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zultat slika za baywatch to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3710" cy="187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C6DC9" w:rsidRPr="00A34140">
              <w:rPr>
                <w:rFonts w:ascii="Arial" w:hAnsi="Arial" w:cs="Arial"/>
                <w:sz w:val="24"/>
                <w:szCs w:val="24"/>
              </w:rPr>
              <w:t xml:space="preserve">Spasilački punkt je otvoreni prostor u funkciji privremenog objekta koji se određuje na većim kupalištima, na svakih 50m dužine kupališta, između dvije kule, u neposrednoj blizini vode, na koji se u toku dnevnog radnog </w:t>
            </w:r>
            <w:proofErr w:type="spellStart"/>
            <w:r w:rsidR="000C6DC9" w:rsidRPr="00A34140">
              <w:rPr>
                <w:rFonts w:ascii="Arial" w:hAnsi="Arial" w:cs="Arial"/>
                <w:sz w:val="24"/>
                <w:szCs w:val="24"/>
              </w:rPr>
              <w:t>vremena</w:t>
            </w:r>
            <w:proofErr w:type="spellEnd"/>
            <w:r w:rsidR="000C6DC9" w:rsidRPr="00A34140">
              <w:rPr>
                <w:rFonts w:ascii="Arial" w:hAnsi="Arial" w:cs="Arial"/>
                <w:sz w:val="24"/>
                <w:szCs w:val="24"/>
              </w:rPr>
              <w:t xml:space="preserve"> kupališta smješta spasilačka oprema potrebna za hitnu intervenciju (dvogled, bova za spašavanje, </w:t>
            </w:r>
            <w:proofErr w:type="spellStart"/>
            <w:r w:rsidR="000C6DC9" w:rsidRPr="00A34140">
              <w:rPr>
                <w:rFonts w:ascii="Arial" w:hAnsi="Arial" w:cs="Arial"/>
                <w:sz w:val="24"/>
                <w:szCs w:val="24"/>
              </w:rPr>
              <w:t>signalizacione</w:t>
            </w:r>
            <w:proofErr w:type="spellEnd"/>
            <w:r w:rsidR="000C6DC9" w:rsidRPr="00A34140">
              <w:rPr>
                <w:rFonts w:ascii="Arial" w:hAnsi="Arial" w:cs="Arial"/>
                <w:sz w:val="24"/>
                <w:szCs w:val="24"/>
              </w:rPr>
              <w:t xml:space="preserve"> zastave, oprema za prvu pomoć).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6DC9" w:rsidRPr="00A34140">
              <w:rPr>
                <w:rFonts w:ascii="Arial" w:hAnsi="Arial" w:cs="Arial"/>
                <w:sz w:val="24"/>
                <w:szCs w:val="24"/>
              </w:rPr>
              <w:t xml:space="preserve">Nakon dnevnog radnog </w:t>
            </w:r>
            <w:proofErr w:type="spellStart"/>
            <w:r w:rsidR="000C6DC9" w:rsidRPr="00A34140">
              <w:rPr>
                <w:rFonts w:ascii="Arial" w:hAnsi="Arial" w:cs="Arial"/>
                <w:sz w:val="24"/>
                <w:szCs w:val="24"/>
              </w:rPr>
              <w:t>vremena</w:t>
            </w:r>
            <w:proofErr w:type="spellEnd"/>
            <w:r w:rsidR="000C6DC9" w:rsidRPr="00A34140">
              <w:rPr>
                <w:rFonts w:ascii="Arial" w:hAnsi="Arial" w:cs="Arial"/>
                <w:sz w:val="24"/>
                <w:szCs w:val="24"/>
              </w:rPr>
              <w:t xml:space="preserve"> ova se oprema uklanja sa </w:t>
            </w:r>
            <w:proofErr w:type="spellStart"/>
            <w:r w:rsidR="000C6DC9" w:rsidRPr="00A34140">
              <w:rPr>
                <w:rFonts w:ascii="Arial" w:hAnsi="Arial" w:cs="Arial"/>
                <w:sz w:val="24"/>
                <w:szCs w:val="24"/>
              </w:rPr>
              <w:t>kupališnog</w:t>
            </w:r>
            <w:proofErr w:type="spellEnd"/>
            <w:r w:rsidR="000C6DC9" w:rsidRPr="00A34140">
              <w:rPr>
                <w:rFonts w:ascii="Arial" w:hAnsi="Arial" w:cs="Arial"/>
                <w:sz w:val="24"/>
                <w:szCs w:val="24"/>
              </w:rPr>
              <w:t xml:space="preserve"> dijela.</w:t>
            </w:r>
            <w:r w:rsidR="00A34140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A34140" w:rsidRPr="00A34140">
              <w:rPr>
                <w:rFonts w:ascii="Arial" w:hAnsi="Arial" w:cs="Arial"/>
                <w:sz w:val="24"/>
                <w:szCs w:val="24"/>
              </w:rPr>
              <w:t>Tehnička dokumentacija: Idejno rješenje</w:t>
            </w:r>
            <w:r w:rsidR="007A7269">
              <w:rPr>
                <w:rFonts w:ascii="Arial" w:hAnsi="Arial" w:cs="Arial"/>
                <w:sz w:val="24"/>
                <w:szCs w:val="24"/>
              </w:rPr>
              <w:t>)</w:t>
            </w:r>
            <w:r w:rsidR="00A3414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335EE270" w14:textId="77777777" w:rsidR="00A34140" w:rsidRDefault="00A34140" w:rsidP="00A34140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80A21C2" w14:textId="77777777" w:rsidR="00E86194" w:rsidRPr="00A34140" w:rsidRDefault="00E86194" w:rsidP="00A34140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5EE271" w14:textId="77777777" w:rsidR="000C6DC9" w:rsidRPr="00A34140" w:rsidRDefault="000C6DC9" w:rsidP="000C6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A34140">
              <w:rPr>
                <w:rFonts w:ascii="Arial" w:hAnsi="Arial" w:cs="Arial"/>
                <w:b/>
                <w:sz w:val="24"/>
                <w:szCs w:val="24"/>
              </w:rPr>
              <w:t>Informativna zastava</w:t>
            </w:r>
          </w:p>
          <w:p w14:paraId="335EE272" w14:textId="77777777" w:rsidR="000C6DC9" w:rsidRPr="00A34140" w:rsidRDefault="000C6DC9" w:rsidP="000C6DC9">
            <w:pPr>
              <w:pStyle w:val="ListParagraph"/>
              <w:ind w:left="184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5EE273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Informativna zastava se postavlja na spasilačkoj kuli i/ili spasilačkom punktu i može biti u tri boje (zelena, žuta i crvena).</w:t>
            </w:r>
          </w:p>
          <w:p w14:paraId="335EE274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Informativna zastava može da sadrži i informativni natpis o kupalištu (plava zastavica).</w:t>
            </w:r>
          </w:p>
          <w:p w14:paraId="335EE275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Kraći rubovi zastave moraju biti najmanje 0,75 m dužine. Omjer između dužine i širine mora biti najmanje 2:1.</w:t>
            </w:r>
          </w:p>
          <w:p w14:paraId="335EE276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Informativna zastava se postavlja na jarbolu na mjestu koje je vidljivo većini korisnika kupališta.</w:t>
            </w:r>
          </w:p>
          <w:p w14:paraId="335EE277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Visina jarbola ne smije biti manja od 5 m.</w:t>
            </w:r>
          </w:p>
          <w:p w14:paraId="335EE278" w14:textId="77777777" w:rsidR="000C6DC9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A34140">
              <w:rPr>
                <w:rFonts w:ascii="Arial" w:hAnsi="Arial" w:cs="Arial"/>
                <w:sz w:val="24"/>
                <w:szCs w:val="24"/>
              </w:rPr>
              <w:t xml:space="preserve"> Fotodokumentacija.</w:t>
            </w:r>
          </w:p>
          <w:p w14:paraId="56AA2863" w14:textId="77777777" w:rsidR="00E86194" w:rsidRPr="00A34140" w:rsidRDefault="00E86194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5EE279" w14:textId="77777777" w:rsidR="000C6DC9" w:rsidRPr="00A34140" w:rsidRDefault="000C6DC9" w:rsidP="00A34140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5EE27B" w14:textId="17BDE679" w:rsidR="000C6DC9" w:rsidRPr="00A34140" w:rsidRDefault="000C6DC9" w:rsidP="00E8619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A34140">
              <w:rPr>
                <w:rFonts w:ascii="Arial" w:hAnsi="Arial" w:cs="Arial"/>
                <w:b/>
                <w:sz w:val="24"/>
                <w:szCs w:val="24"/>
              </w:rPr>
              <w:t>Informativna tabla za korisnike kupališta</w:t>
            </w:r>
          </w:p>
          <w:p w14:paraId="335EE27C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Informativne table na kupalištu su sljedećih dimenzija:</w:t>
            </w:r>
          </w:p>
          <w:p w14:paraId="335EE27D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1) tabla sa informacijama o kupalištu, dimenzija konstrukcije 260 x 100 cm i dimenzija table 100x100cm;</w:t>
            </w:r>
          </w:p>
          <w:p w14:paraId="335EE27E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 xml:space="preserve">2) tabla sa informacijama o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plažnom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redu, dimenzija 70 x 130cm;</w:t>
            </w:r>
          </w:p>
          <w:p w14:paraId="335EE27F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3) tabla sa informacijama o bezbjednosti kupača, dimenzija 100x150 cm.</w:t>
            </w:r>
          </w:p>
          <w:p w14:paraId="335EE280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Konstrukcija informativne table za korisnike kupališta je metalna, pričvršćena za tlo na način primjeren postojećoj podlozi.</w:t>
            </w:r>
          </w:p>
          <w:p w14:paraId="335EE281" w14:textId="77777777" w:rsidR="000C6DC9" w:rsidRDefault="000C6DC9" w:rsidP="000C6DC9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A34140">
              <w:rPr>
                <w:rFonts w:ascii="Arial" w:hAnsi="Arial" w:cs="Arial"/>
                <w:sz w:val="24"/>
                <w:szCs w:val="24"/>
              </w:rPr>
              <w:t xml:space="preserve"> Idejno rješenje</w:t>
            </w:r>
          </w:p>
          <w:p w14:paraId="335EE282" w14:textId="77777777" w:rsidR="00FF03F2" w:rsidRDefault="00FF03F2" w:rsidP="000C6DC9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792CD2A0" w14:textId="77777777" w:rsidR="00E86194" w:rsidRDefault="00E86194" w:rsidP="000C6DC9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335EE284" w14:textId="47992A8D" w:rsidR="00FF03F2" w:rsidRPr="00FF03F2" w:rsidRDefault="00FF03F2" w:rsidP="00E86194">
            <w:pPr>
              <w:jc w:val="both"/>
              <w:rPr>
                <w:rFonts w:ascii="Arial" w:hAnsi="Arial" w:cs="Arial"/>
                <w:sz w:val="24"/>
                <w:szCs w:val="22"/>
              </w:rPr>
            </w:pPr>
            <w:r w:rsidRPr="00FF03F2">
              <w:rPr>
                <w:rFonts w:ascii="Arial" w:hAnsi="Arial" w:cs="Arial"/>
                <w:b/>
                <w:sz w:val="24"/>
                <w:szCs w:val="22"/>
              </w:rPr>
              <w:t xml:space="preserve">Urbanistički uslovi za postavljanje objekta za smještaj </w:t>
            </w:r>
            <w:proofErr w:type="spellStart"/>
            <w:r w:rsidRPr="00FF03F2">
              <w:rPr>
                <w:rFonts w:ascii="Arial" w:hAnsi="Arial" w:cs="Arial"/>
                <w:b/>
                <w:sz w:val="24"/>
                <w:szCs w:val="22"/>
              </w:rPr>
              <w:t>plažnog</w:t>
            </w:r>
            <w:proofErr w:type="spellEnd"/>
            <w:r w:rsidRPr="00FF03F2">
              <w:rPr>
                <w:rFonts w:ascii="Arial" w:hAnsi="Arial" w:cs="Arial"/>
                <w:b/>
                <w:sz w:val="24"/>
                <w:szCs w:val="22"/>
              </w:rPr>
              <w:t xml:space="preserve"> mobilijara</w:t>
            </w:r>
          </w:p>
          <w:p w14:paraId="335EE285" w14:textId="77777777" w:rsidR="00FF03F2" w:rsidRPr="00FF03F2" w:rsidRDefault="00FF03F2" w:rsidP="00FF03F2">
            <w:pPr>
              <w:suppressAutoHyphens/>
              <w:jc w:val="both"/>
              <w:rPr>
                <w:rFonts w:ascii="Arial" w:hAnsi="Arial" w:cs="Arial"/>
                <w:sz w:val="24"/>
                <w:szCs w:val="22"/>
              </w:rPr>
            </w:pPr>
            <w:r w:rsidRPr="00FF03F2">
              <w:rPr>
                <w:rFonts w:ascii="Arial" w:hAnsi="Arial" w:cs="Arial"/>
                <w:sz w:val="24"/>
                <w:szCs w:val="22"/>
              </w:rPr>
              <w:t xml:space="preserve">Postavljanje objekta za smještaj </w:t>
            </w:r>
            <w:proofErr w:type="spellStart"/>
            <w:r w:rsidRPr="00FF03F2">
              <w:rPr>
                <w:rFonts w:ascii="Arial" w:hAnsi="Arial" w:cs="Arial"/>
                <w:sz w:val="24"/>
                <w:szCs w:val="22"/>
              </w:rPr>
              <w:t>plažnog</w:t>
            </w:r>
            <w:proofErr w:type="spellEnd"/>
            <w:r w:rsidRPr="00FF03F2">
              <w:rPr>
                <w:rFonts w:ascii="Arial" w:hAnsi="Arial" w:cs="Arial"/>
                <w:sz w:val="24"/>
                <w:szCs w:val="22"/>
              </w:rPr>
              <w:t xml:space="preserve"> mobilijara moguće je dozvoliti </w:t>
            </w:r>
            <w:r w:rsidRPr="00FF03F2">
              <w:rPr>
                <w:rFonts w:ascii="Arial" w:hAnsi="Arial" w:cs="Arial"/>
                <w:sz w:val="24"/>
                <w:szCs w:val="22"/>
                <w:u w:val="single"/>
              </w:rPr>
              <w:t>isključivo</w:t>
            </w:r>
            <w:r w:rsidRPr="00FF03F2">
              <w:rPr>
                <w:rFonts w:ascii="Arial" w:hAnsi="Arial" w:cs="Arial"/>
                <w:sz w:val="24"/>
                <w:szCs w:val="22"/>
              </w:rPr>
              <w:t xml:space="preserve"> na kupalištima koja mobilijar izdaju po potrebi i na zahtjev korisnika, odnosno na kraju dnevnog radnog </w:t>
            </w:r>
            <w:proofErr w:type="spellStart"/>
            <w:r w:rsidRPr="00FF03F2">
              <w:rPr>
                <w:rFonts w:ascii="Arial" w:hAnsi="Arial" w:cs="Arial"/>
                <w:sz w:val="24"/>
                <w:szCs w:val="22"/>
              </w:rPr>
              <w:t>vremena</w:t>
            </w:r>
            <w:proofErr w:type="spellEnd"/>
            <w:r w:rsidRPr="00FF03F2">
              <w:rPr>
                <w:rFonts w:ascii="Arial" w:hAnsi="Arial" w:cs="Arial"/>
                <w:sz w:val="24"/>
                <w:szCs w:val="22"/>
              </w:rPr>
              <w:t xml:space="preserve"> </w:t>
            </w:r>
            <w:proofErr w:type="spellStart"/>
            <w:r w:rsidRPr="00FF03F2">
              <w:rPr>
                <w:rFonts w:ascii="Arial" w:hAnsi="Arial" w:cs="Arial"/>
                <w:sz w:val="24"/>
                <w:szCs w:val="22"/>
              </w:rPr>
              <w:t>plažni</w:t>
            </w:r>
            <w:proofErr w:type="spellEnd"/>
            <w:r w:rsidRPr="00FF03F2">
              <w:rPr>
                <w:rFonts w:ascii="Arial" w:hAnsi="Arial" w:cs="Arial"/>
                <w:sz w:val="24"/>
                <w:szCs w:val="22"/>
              </w:rPr>
              <w:t xml:space="preserve"> mobilijar (ležaljke i suncobrane) uklanjaju sa </w:t>
            </w:r>
            <w:proofErr w:type="spellStart"/>
            <w:r w:rsidRPr="00FF03F2">
              <w:rPr>
                <w:rFonts w:ascii="Arial" w:hAnsi="Arial" w:cs="Arial"/>
                <w:sz w:val="24"/>
                <w:szCs w:val="22"/>
              </w:rPr>
              <w:t>kupališne</w:t>
            </w:r>
            <w:proofErr w:type="spellEnd"/>
            <w:r w:rsidRPr="00FF03F2">
              <w:rPr>
                <w:rFonts w:ascii="Arial" w:hAnsi="Arial" w:cs="Arial"/>
                <w:sz w:val="24"/>
                <w:szCs w:val="22"/>
              </w:rPr>
              <w:t xml:space="preserve"> površine;</w:t>
            </w:r>
          </w:p>
          <w:p w14:paraId="335EE286" w14:textId="77777777" w:rsidR="00FF03F2" w:rsidRPr="00FF03F2" w:rsidRDefault="00FF03F2" w:rsidP="00FF03F2">
            <w:pPr>
              <w:jc w:val="both"/>
              <w:rPr>
                <w:rFonts w:ascii="Arial" w:hAnsi="Arial" w:cs="Arial"/>
                <w:sz w:val="24"/>
                <w:szCs w:val="22"/>
              </w:rPr>
            </w:pPr>
            <w:r w:rsidRPr="00FF03F2">
              <w:rPr>
                <w:rFonts w:ascii="Arial" w:hAnsi="Arial" w:cs="Arial"/>
                <w:sz w:val="24"/>
                <w:szCs w:val="22"/>
              </w:rPr>
              <w:t xml:space="preserve">Površina na kojoj se postavlja objekta za smještaj </w:t>
            </w:r>
            <w:proofErr w:type="spellStart"/>
            <w:r w:rsidRPr="00FF03F2">
              <w:rPr>
                <w:rFonts w:ascii="Arial" w:hAnsi="Arial" w:cs="Arial"/>
                <w:sz w:val="24"/>
                <w:szCs w:val="22"/>
              </w:rPr>
              <w:t>plažnog</w:t>
            </w:r>
            <w:proofErr w:type="spellEnd"/>
            <w:r w:rsidRPr="00FF03F2">
              <w:rPr>
                <w:rFonts w:ascii="Arial" w:hAnsi="Arial" w:cs="Arial"/>
                <w:sz w:val="24"/>
                <w:szCs w:val="22"/>
              </w:rPr>
              <w:t xml:space="preserve"> mobilijara ne može se fizički mijenjati odnosno betonirati, odnosno postavlja se isključivo na postojeću odnosno daščanu podlogu, maksimalne visine 10 cm u odnosu na kotu terena. Ne može se postavljati na pješčanom dijelu kupališta.</w:t>
            </w:r>
          </w:p>
          <w:p w14:paraId="335EE287" w14:textId="77777777" w:rsidR="00FF03F2" w:rsidRPr="00FF03F2" w:rsidRDefault="00FF03F2" w:rsidP="00FF03F2">
            <w:pPr>
              <w:jc w:val="both"/>
              <w:rPr>
                <w:rFonts w:ascii="Arial" w:hAnsi="Arial" w:cs="Arial"/>
                <w:sz w:val="24"/>
                <w:szCs w:val="22"/>
              </w:rPr>
            </w:pPr>
            <w:r w:rsidRPr="00FF03F2">
              <w:rPr>
                <w:rFonts w:ascii="Arial" w:hAnsi="Arial" w:cs="Arial"/>
                <w:sz w:val="24"/>
                <w:szCs w:val="22"/>
              </w:rPr>
              <w:t xml:space="preserve">Objekat za smještaj </w:t>
            </w:r>
            <w:proofErr w:type="spellStart"/>
            <w:r w:rsidRPr="00FF03F2">
              <w:rPr>
                <w:rFonts w:ascii="Arial" w:hAnsi="Arial" w:cs="Arial"/>
                <w:sz w:val="24"/>
                <w:szCs w:val="22"/>
              </w:rPr>
              <w:t>plažnog</w:t>
            </w:r>
            <w:proofErr w:type="spellEnd"/>
            <w:r w:rsidRPr="00FF03F2">
              <w:rPr>
                <w:rFonts w:ascii="Arial" w:hAnsi="Arial" w:cs="Arial"/>
                <w:sz w:val="24"/>
                <w:szCs w:val="22"/>
              </w:rPr>
              <w:t xml:space="preserve"> mobilijara izrađuje se od montažnih elemenata, površine je do najviše 16 m2, a svojim izgledom je uklopljen u ambijent lokacije.</w:t>
            </w:r>
          </w:p>
          <w:p w14:paraId="335EE288" w14:textId="77777777" w:rsidR="00FF03F2" w:rsidRPr="00FF03F2" w:rsidRDefault="00FF03F2" w:rsidP="00FF03F2">
            <w:pPr>
              <w:jc w:val="both"/>
              <w:rPr>
                <w:rFonts w:ascii="Arial" w:hAnsi="Arial" w:cs="Arial"/>
                <w:sz w:val="24"/>
                <w:szCs w:val="22"/>
              </w:rPr>
            </w:pPr>
            <w:r w:rsidRPr="00FF03F2">
              <w:rPr>
                <w:rFonts w:ascii="Arial" w:hAnsi="Arial" w:cs="Arial"/>
                <w:sz w:val="24"/>
                <w:szCs w:val="22"/>
              </w:rPr>
              <w:t xml:space="preserve">Način postavljanja ove vrste privremenih objekata je montiranje na licu mjesta od već napravljenih elemenata </w:t>
            </w:r>
            <w:proofErr w:type="spellStart"/>
            <w:r w:rsidRPr="00FF03F2">
              <w:rPr>
                <w:rFonts w:ascii="Arial" w:hAnsi="Arial" w:cs="Arial"/>
                <w:sz w:val="24"/>
                <w:szCs w:val="22"/>
              </w:rPr>
              <w:t>kontrukcije</w:t>
            </w:r>
            <w:proofErr w:type="spellEnd"/>
            <w:r w:rsidRPr="00FF03F2">
              <w:rPr>
                <w:rFonts w:ascii="Arial" w:hAnsi="Arial" w:cs="Arial"/>
                <w:sz w:val="24"/>
                <w:szCs w:val="22"/>
              </w:rPr>
              <w:t xml:space="preserve">, elemenata krova, </w:t>
            </w:r>
            <w:proofErr w:type="spellStart"/>
            <w:r w:rsidRPr="00FF03F2">
              <w:rPr>
                <w:rFonts w:ascii="Arial" w:hAnsi="Arial" w:cs="Arial"/>
                <w:sz w:val="24"/>
                <w:szCs w:val="22"/>
              </w:rPr>
              <w:t>demontažnih</w:t>
            </w:r>
            <w:proofErr w:type="spellEnd"/>
            <w:r w:rsidRPr="00FF03F2">
              <w:rPr>
                <w:rFonts w:ascii="Arial" w:hAnsi="Arial" w:cs="Arial"/>
                <w:sz w:val="24"/>
                <w:szCs w:val="22"/>
              </w:rPr>
              <w:t xml:space="preserve"> elemenata vertikalnih pregrada (staklo, </w:t>
            </w:r>
            <w:proofErr w:type="spellStart"/>
            <w:r w:rsidRPr="00FF03F2">
              <w:rPr>
                <w:rFonts w:ascii="Arial" w:hAnsi="Arial" w:cs="Arial"/>
                <w:sz w:val="24"/>
                <w:szCs w:val="22"/>
              </w:rPr>
              <w:t>leksan</w:t>
            </w:r>
            <w:proofErr w:type="spellEnd"/>
            <w:r w:rsidRPr="00FF03F2">
              <w:rPr>
                <w:rFonts w:ascii="Arial" w:hAnsi="Arial" w:cs="Arial"/>
                <w:sz w:val="24"/>
                <w:szCs w:val="22"/>
              </w:rPr>
              <w:t xml:space="preserve">, lim, </w:t>
            </w:r>
            <w:proofErr w:type="spellStart"/>
            <w:r w:rsidRPr="00FF03F2">
              <w:rPr>
                <w:rFonts w:ascii="Arial" w:hAnsi="Arial" w:cs="Arial"/>
                <w:sz w:val="24"/>
                <w:szCs w:val="22"/>
              </w:rPr>
              <w:t>tegola</w:t>
            </w:r>
            <w:proofErr w:type="spellEnd"/>
            <w:r w:rsidRPr="00FF03F2">
              <w:rPr>
                <w:rFonts w:ascii="Arial" w:hAnsi="Arial" w:cs="Arial"/>
                <w:sz w:val="24"/>
                <w:szCs w:val="22"/>
              </w:rPr>
              <w:t xml:space="preserve"> i drugo), </w:t>
            </w:r>
            <w:proofErr w:type="spellStart"/>
            <w:r w:rsidRPr="00FF03F2">
              <w:rPr>
                <w:rFonts w:ascii="Arial" w:hAnsi="Arial" w:cs="Arial"/>
                <w:sz w:val="24"/>
                <w:szCs w:val="22"/>
              </w:rPr>
              <w:t>demontažne</w:t>
            </w:r>
            <w:proofErr w:type="spellEnd"/>
            <w:r w:rsidRPr="00FF03F2">
              <w:rPr>
                <w:rFonts w:ascii="Arial" w:hAnsi="Arial" w:cs="Arial"/>
                <w:sz w:val="24"/>
                <w:szCs w:val="22"/>
              </w:rPr>
              <w:t xml:space="preserve"> podne platforme. Na isti način se vrši i demontaža.</w:t>
            </w:r>
          </w:p>
          <w:p w14:paraId="335EE289" w14:textId="77777777" w:rsidR="00FF03F2" w:rsidRDefault="00FF03F2" w:rsidP="00FF03F2">
            <w:pPr>
              <w:suppressAutoHyphens/>
              <w:jc w:val="both"/>
              <w:rPr>
                <w:rFonts w:ascii="Arial" w:hAnsi="Arial" w:cs="Arial"/>
                <w:sz w:val="24"/>
                <w:szCs w:val="22"/>
              </w:rPr>
            </w:pPr>
            <w:r w:rsidRPr="00FF03F2">
              <w:rPr>
                <w:rFonts w:ascii="Arial" w:hAnsi="Arial" w:cs="Arial"/>
                <w:i/>
                <w:sz w:val="24"/>
                <w:szCs w:val="22"/>
              </w:rPr>
              <w:t>Tehnička dokumentacija:</w:t>
            </w:r>
            <w:r w:rsidRPr="00FF03F2">
              <w:rPr>
                <w:rFonts w:ascii="Arial" w:hAnsi="Arial" w:cs="Arial"/>
                <w:sz w:val="24"/>
                <w:szCs w:val="22"/>
              </w:rPr>
              <w:t xml:space="preserve"> Idejno rješenje</w:t>
            </w:r>
          </w:p>
          <w:p w14:paraId="24ADCC50" w14:textId="77777777" w:rsidR="00E86194" w:rsidRDefault="00E86194" w:rsidP="00FF03F2">
            <w:pPr>
              <w:suppressAutoHyphens/>
              <w:jc w:val="both"/>
              <w:rPr>
                <w:rFonts w:ascii="Arial" w:hAnsi="Arial" w:cs="Arial"/>
                <w:sz w:val="24"/>
                <w:szCs w:val="22"/>
              </w:rPr>
            </w:pPr>
          </w:p>
          <w:p w14:paraId="3C89EB54" w14:textId="77777777" w:rsidR="0074570D" w:rsidRDefault="0074570D" w:rsidP="00FF03F2">
            <w:pPr>
              <w:suppressAutoHyphens/>
              <w:jc w:val="both"/>
              <w:rPr>
                <w:rFonts w:ascii="Arial" w:hAnsi="Arial" w:cs="Arial"/>
                <w:sz w:val="24"/>
                <w:szCs w:val="22"/>
              </w:rPr>
            </w:pPr>
          </w:p>
          <w:p w14:paraId="608A7C63" w14:textId="58DC34F5" w:rsidR="0074570D" w:rsidRPr="001C2AB4" w:rsidRDefault="0074570D" w:rsidP="00E86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1C2AB4">
              <w:rPr>
                <w:rFonts w:ascii="Arial" w:hAnsi="Arial" w:cs="Arial"/>
                <w:b/>
                <w:sz w:val="24"/>
                <w:szCs w:val="24"/>
              </w:rPr>
              <w:t>KONZERVATOR ZA SLADOLED</w:t>
            </w:r>
          </w:p>
          <w:p w14:paraId="3BD2DA13" w14:textId="77777777" w:rsidR="0074570D" w:rsidRPr="001C2AB4" w:rsidRDefault="0074570D" w:rsidP="0074570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AB4">
              <w:rPr>
                <w:rFonts w:ascii="Arial" w:hAnsi="Arial" w:cs="Arial"/>
                <w:sz w:val="24"/>
                <w:szCs w:val="24"/>
              </w:rPr>
              <w:t>Prema načinu na koji je pričvršćen za tlo, konzervator za sladoled može biti samo pokretni privremeni objekat (uređaj);</w:t>
            </w:r>
          </w:p>
          <w:p w14:paraId="2304EB43" w14:textId="77777777" w:rsidR="0074570D" w:rsidRPr="001C2AB4" w:rsidRDefault="0074570D" w:rsidP="0074570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AB4">
              <w:rPr>
                <w:rFonts w:ascii="Arial" w:hAnsi="Arial" w:cs="Arial"/>
                <w:sz w:val="24"/>
                <w:szCs w:val="24"/>
                <w:lang w:eastAsia="ar-SA"/>
              </w:rPr>
              <w:t xml:space="preserve">Opremu konzervatora za sladoled čine korpa za otpatke, sklopiva stolica i suncobran; </w:t>
            </w:r>
          </w:p>
          <w:p w14:paraId="0EC23372" w14:textId="77777777" w:rsidR="0074570D" w:rsidRPr="001C2AB4" w:rsidRDefault="0074570D" w:rsidP="0074570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AB4">
              <w:rPr>
                <w:rFonts w:ascii="Arial" w:hAnsi="Arial" w:cs="Arial"/>
                <w:sz w:val="24"/>
                <w:szCs w:val="24"/>
                <w:lang w:eastAsia="ar-SA"/>
              </w:rPr>
              <w:t>Boja platna suncobrana treba da bude diskretna. Poželjna je bijela i bež boja dok se u izuzetnim slučajevima kada se to potvrđuje analizom okolnog ambijenta mogu koristiti i neke druge boje (crna, teget, bordo, tamnija zelena..) ali nikako jarke i agresivne boje.</w:t>
            </w:r>
          </w:p>
          <w:p w14:paraId="4B3C688A" w14:textId="77777777" w:rsidR="0074570D" w:rsidRPr="001C2AB4" w:rsidRDefault="0074570D" w:rsidP="0074570D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C2AB4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1C2AB4">
              <w:rPr>
                <w:rFonts w:ascii="Arial" w:hAnsi="Arial" w:cs="Arial"/>
                <w:sz w:val="24"/>
                <w:szCs w:val="24"/>
              </w:rPr>
              <w:t xml:space="preserve"> Atest proizvođača i fotografije uređaja.</w:t>
            </w:r>
          </w:p>
          <w:p w14:paraId="335EE28A" w14:textId="77777777" w:rsidR="00FF03F2" w:rsidRPr="00A34140" w:rsidRDefault="00FF03F2" w:rsidP="000C6DC9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335EE28B" w14:textId="77777777" w:rsidR="000C6DC9" w:rsidRPr="00A34140" w:rsidRDefault="000C6DC9" w:rsidP="000C6DC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5EE28D" w14:textId="12E8706D" w:rsidR="000C6DC9" w:rsidRPr="00A34140" w:rsidRDefault="000C6DC9" w:rsidP="00E8619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A34140">
              <w:rPr>
                <w:rFonts w:ascii="Arial" w:hAnsi="Arial" w:cs="Arial"/>
                <w:b/>
                <w:sz w:val="24"/>
                <w:szCs w:val="24"/>
              </w:rPr>
              <w:t>Sanitarni objekti za potrebe kupališta</w:t>
            </w:r>
          </w:p>
          <w:p w14:paraId="335EE28E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34140">
              <w:rPr>
                <w:rFonts w:ascii="Arial" w:hAnsi="Arial" w:cs="Arial"/>
                <w:sz w:val="24"/>
                <w:szCs w:val="24"/>
                <w:lang w:eastAsia="ar-SA"/>
              </w:rPr>
              <w:t xml:space="preserve">Uz predviđeni ugostiteljski objekat,  uz uređeno kupalište i u njegovom zaleđu, gdje za to postoje infrastrukturni priključci može se odobriti postavljanje montažno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  <w:lang w:eastAsia="ar-SA"/>
              </w:rPr>
              <w:t>demontažnih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  <w:lang w:eastAsia="ar-SA"/>
              </w:rPr>
              <w:t xml:space="preserve"> sanitarnih objekata u površinama srazmjerno veličini ugostiteljskog objekta, odnosno kupališta i zakonskim propisima. Na kupalištima i u njihovom zaleđu sanitarni objekti mogu biti i kontejnerskog tipa;</w:t>
            </w:r>
          </w:p>
          <w:p w14:paraId="335EE28F" w14:textId="77777777" w:rsidR="000C6DC9" w:rsidRDefault="000C6DC9" w:rsidP="000C6DC9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A34140">
              <w:rPr>
                <w:rFonts w:ascii="Arial" w:hAnsi="Arial" w:cs="Arial"/>
                <w:sz w:val="24"/>
                <w:szCs w:val="24"/>
              </w:rPr>
              <w:t xml:space="preserve"> Idejno rješenje ili tipski projekat</w:t>
            </w:r>
          </w:p>
          <w:p w14:paraId="3930F1C7" w14:textId="77777777" w:rsidR="00E94574" w:rsidRDefault="00E94574" w:rsidP="000C6DC9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6E9DCC8B" w14:textId="77777777" w:rsidR="00E86194" w:rsidRDefault="00E86194" w:rsidP="000C6DC9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0577024D" w14:textId="77777777" w:rsidR="00E86194" w:rsidRDefault="00E86194" w:rsidP="000C6DC9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335EE299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lastRenderedPageBreak/>
              <w:t xml:space="preserve">Pokretni privremeni objekti, odnosno oprema i uređaji koji se mogu naći na kopnenom dijelu kupališta su: kabine za presvlačenje,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plažni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tuševi, pokretni toaleti, mobilni sanitarni blok, sef na kupalištu,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plažni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mobilijar, dječje igralište. Navedena oprema i uređaji se, za razliku od montažno-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demontažnih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objekata, nakon završetka sezone uklanjaju sa kupališta;</w:t>
            </w:r>
          </w:p>
          <w:p w14:paraId="335EE29A" w14:textId="77777777" w:rsidR="000C6DC9" w:rsidRPr="00A34140" w:rsidRDefault="000C6DC9" w:rsidP="000C6DC9">
            <w:pPr>
              <w:suppressAutoHyphens/>
              <w:ind w:left="114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5EE29B" w14:textId="77777777" w:rsidR="000C6DC9" w:rsidRPr="00A34140" w:rsidRDefault="000C6DC9" w:rsidP="001D0CD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 xml:space="preserve">Za kabine za presvlačenje, ležaljke, suncobrane,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plažne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stočiće i sl. potrebno je obezbijediti adekvatnu lokaciju i raspored u okviru kupališta.</w:t>
            </w:r>
          </w:p>
          <w:p w14:paraId="335EE29C" w14:textId="77777777" w:rsidR="000C6DC9" w:rsidRDefault="000C6DC9" w:rsidP="001D0CD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 xml:space="preserve">Kabine za presvlačenje i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plažni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tuševi moraju biti postavljeni po obodu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plažne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površine i/ili u neposrednom zaleđu pješčanog dijela kupališta. Preporuka je da se kabine za presvlačenje grupišu sa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plažnim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tuševima. </w:t>
            </w:r>
          </w:p>
          <w:p w14:paraId="30CAE99D" w14:textId="77777777" w:rsidR="00E86194" w:rsidRPr="00A34140" w:rsidRDefault="00E86194" w:rsidP="001D0CD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5EE29D" w14:textId="77777777" w:rsidR="000C6DC9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 xml:space="preserve">Teže pomični elementi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plažne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opreme i mobilijara kao što su je baldahini, kante za otpatke, sefovi na plaži i dr. treba da budu postavljeni na način da se obezbijedi komfor korisnicima kupališta (sunce, pristup moru, prirodni hlad itd.), ne ometa se slobodno kretanje u prostoru kupališta i omogućava kontrola korišćenja opreme i njeno jednostavno servisiranje i održavanje.  </w:t>
            </w:r>
          </w:p>
          <w:p w14:paraId="51B91705" w14:textId="77777777" w:rsidR="00E86194" w:rsidRPr="00A34140" w:rsidRDefault="00E86194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5EE29E" w14:textId="77777777" w:rsidR="000C6DC9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 xml:space="preserve">Režim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korištenja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opreme na plaži, površina kupališta koja mora biti oslobođena od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plažne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opreme (ležaljke, suncobrani, stočići, kante za otpatke i dr.), dakle slobodni prostor s jedne i raspored odobrene količine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plažne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opreme u prostoru s druge strane utvrđuje se Ugovorom o zakupu, u odnosu na režim kupališta (hotelsko, javno, gradsko, specijalno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itd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). </w:t>
            </w:r>
          </w:p>
          <w:p w14:paraId="6FC1042E" w14:textId="77777777" w:rsidR="00E86194" w:rsidRPr="00A34140" w:rsidRDefault="00E86194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5EE29F" w14:textId="5E0A0108" w:rsidR="000C6DC9" w:rsidRPr="00A34140" w:rsidRDefault="00DC1A1C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noProof/>
                <w:sz w:val="24"/>
                <w:szCs w:val="24"/>
                <w:lang w:eastAsia="sr-Latn-ME"/>
              </w:rPr>
              <w:drawing>
                <wp:anchor distT="0" distB="0" distL="114300" distR="114300" simplePos="0" relativeHeight="251661312" behindDoc="0" locked="0" layoutInCell="1" allowOverlap="1" wp14:anchorId="335EE332" wp14:editId="04831C56">
                  <wp:simplePos x="0" y="0"/>
                  <wp:positionH relativeFrom="column">
                    <wp:posOffset>342265</wp:posOffset>
                  </wp:positionH>
                  <wp:positionV relativeFrom="paragraph">
                    <wp:posOffset>584835</wp:posOffset>
                  </wp:positionV>
                  <wp:extent cx="2257425" cy="1503045"/>
                  <wp:effectExtent l="0" t="0" r="9525" b="1905"/>
                  <wp:wrapTight wrapText="bothSides">
                    <wp:wrapPolygon edited="0">
                      <wp:start x="0" y="0"/>
                      <wp:lineTo x="0" y="21354"/>
                      <wp:lineTo x="21509" y="21354"/>
                      <wp:lineTo x="21509" y="0"/>
                      <wp:lineTo x="0" y="0"/>
                    </wp:wrapPolygon>
                  </wp:wrapTight>
                  <wp:docPr id="10" name="Picture 10" descr="ezultat slika za sun bed bea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zultat slika za sun bed bea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50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C6DC9" w:rsidRPr="00A34140">
              <w:rPr>
                <w:rFonts w:ascii="Arial" w:hAnsi="Arial" w:cs="Arial"/>
                <w:sz w:val="24"/>
                <w:szCs w:val="24"/>
              </w:rPr>
              <w:t>Ležaljke se izrađuju od PVC materijala, drveta i ostalih lakih materijala, a baldahini se izrađuju od drvene konstrukcije površine do 2 x 2.5 m, natkrivene bijelim platnom i zavjesama.</w:t>
            </w:r>
          </w:p>
          <w:p w14:paraId="335EE2AA" w14:textId="1C914A18" w:rsidR="000C6DC9" w:rsidRPr="00DC1A1C" w:rsidRDefault="00DC1A1C" w:rsidP="00DC1A1C">
            <w:pPr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noProof/>
                <w:sz w:val="24"/>
                <w:szCs w:val="24"/>
                <w:lang w:eastAsia="sr-Latn-ME"/>
              </w:rPr>
              <w:drawing>
                <wp:anchor distT="0" distB="0" distL="114300" distR="114300" simplePos="0" relativeHeight="251662336" behindDoc="0" locked="0" layoutInCell="1" allowOverlap="1" wp14:anchorId="335EE330" wp14:editId="5CCB7638">
                  <wp:simplePos x="0" y="0"/>
                  <wp:positionH relativeFrom="column">
                    <wp:posOffset>2790190</wp:posOffset>
                  </wp:positionH>
                  <wp:positionV relativeFrom="paragraph">
                    <wp:posOffset>68580</wp:posOffset>
                  </wp:positionV>
                  <wp:extent cx="2390775" cy="1492250"/>
                  <wp:effectExtent l="0" t="0" r="9525" b="0"/>
                  <wp:wrapTight wrapText="bothSides">
                    <wp:wrapPolygon edited="0">
                      <wp:start x="0" y="0"/>
                      <wp:lineTo x="0" y="21232"/>
                      <wp:lineTo x="21514" y="21232"/>
                      <wp:lineTo x="21514" y="0"/>
                      <wp:lineTo x="0" y="0"/>
                    </wp:wrapPolygon>
                  </wp:wrapTight>
                  <wp:docPr id="11" name="Picture 11" descr="rod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od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149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5EE2AB" w14:textId="2D0C09A4" w:rsidR="000C6DC9" w:rsidRDefault="000C6DC9" w:rsidP="000C6DC9">
            <w:pPr>
              <w:suppressAutoHyphens/>
              <w:ind w:firstLine="7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A34140">
              <w:rPr>
                <w:rFonts w:ascii="Arial" w:hAnsi="Arial" w:cs="Arial"/>
                <w:i/>
                <w:sz w:val="24"/>
                <w:szCs w:val="24"/>
              </w:rPr>
              <w:t xml:space="preserve">                        </w:t>
            </w:r>
            <w:bookmarkStart w:id="0" w:name="_Hlk529701035"/>
            <w:r w:rsidRPr="00A34140">
              <w:rPr>
                <w:rFonts w:ascii="Arial" w:hAnsi="Arial" w:cs="Arial"/>
                <w:i/>
                <w:sz w:val="24"/>
                <w:szCs w:val="24"/>
              </w:rPr>
              <w:t>Slike: Primjeri uređenja kupališta</w:t>
            </w:r>
            <w:bookmarkEnd w:id="0"/>
          </w:p>
          <w:p w14:paraId="335EE2AC" w14:textId="77777777" w:rsidR="00FD68B9" w:rsidRPr="00A34140" w:rsidRDefault="00FD68B9" w:rsidP="000C6DC9">
            <w:pPr>
              <w:suppressAutoHyphens/>
              <w:ind w:firstLine="7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35EE2AD" w14:textId="77777777" w:rsidR="00511986" w:rsidRPr="00511986" w:rsidRDefault="00511986" w:rsidP="00511986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D0CD8">
              <w:rPr>
                <w:rFonts w:ascii="Arial" w:hAnsi="Arial" w:cs="Arial"/>
                <w:sz w:val="24"/>
                <w:szCs w:val="24"/>
              </w:rPr>
              <w:t>Plažni</w:t>
            </w:r>
            <w:proofErr w:type="spellEnd"/>
            <w:r w:rsidRPr="001D0CD8">
              <w:rPr>
                <w:rFonts w:ascii="Arial" w:hAnsi="Arial" w:cs="Arial"/>
                <w:sz w:val="24"/>
                <w:szCs w:val="24"/>
              </w:rPr>
              <w:t xml:space="preserve"> mobilijar (suncobrani/ležaljke/baldahini) koji se postavlja na kupalištu, kao i ostala oprema koja je u funkciji kupališta (kabine za presvlačenje i dr.) može biti samo u pastelnim bojama (bijela, bež i dr. ), a nikako sa reklamnim natpisima.</w:t>
            </w:r>
          </w:p>
          <w:p w14:paraId="335EE2AE" w14:textId="77777777" w:rsidR="000C6DC9" w:rsidRPr="00A34140" w:rsidRDefault="000C6DC9" w:rsidP="000C6DC9">
            <w:pPr>
              <w:suppressAutoHyphens/>
              <w:ind w:firstLine="7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35EE2AF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 xml:space="preserve">Pojas duž morske obale širine minimum 3m (mjereno za vrijeme plime) mora biti u potpunosti oslobođen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plažne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opreme i mobilijara radi omogućavanja slobodnog kretanja i bezbjednog i nesmetanog ulaska kupača u more. </w:t>
            </w:r>
          </w:p>
          <w:p w14:paraId="335EE2B0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5EE2B1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noProof/>
                <w:sz w:val="24"/>
                <w:szCs w:val="24"/>
                <w:lang w:eastAsia="sr-Latn-ME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35EE334" wp14:editId="335EE335">
                  <wp:simplePos x="0" y="0"/>
                  <wp:positionH relativeFrom="column">
                    <wp:posOffset>4472940</wp:posOffset>
                  </wp:positionH>
                  <wp:positionV relativeFrom="paragraph">
                    <wp:posOffset>69215</wp:posOffset>
                  </wp:positionV>
                  <wp:extent cx="1802130" cy="2336800"/>
                  <wp:effectExtent l="0" t="0" r="1270" b="0"/>
                  <wp:wrapTight wrapText="bothSides">
                    <wp:wrapPolygon edited="0">
                      <wp:start x="0" y="0"/>
                      <wp:lineTo x="0" y="21365"/>
                      <wp:lineTo x="21311" y="21365"/>
                      <wp:lineTo x="21311" y="0"/>
                      <wp:lineTo x="0" y="0"/>
                    </wp:wrapPolygon>
                  </wp:wrapTight>
                  <wp:docPr id="8" name="Picture 8" descr="serenitybox-saint-jean-cap-ferr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erenitybox-saint-jean-cap-ferr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130" cy="233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34140">
              <w:rPr>
                <w:rFonts w:ascii="Arial" w:hAnsi="Arial" w:cs="Arial"/>
                <w:noProof/>
                <w:sz w:val="24"/>
                <w:szCs w:val="24"/>
                <w:lang w:eastAsia="sr-Latn-ME"/>
              </w:rPr>
              <w:drawing>
                <wp:anchor distT="0" distB="0" distL="114300" distR="114300" simplePos="0" relativeHeight="251660288" behindDoc="0" locked="0" layoutInCell="1" allowOverlap="1" wp14:anchorId="335EE336" wp14:editId="335EE337">
                  <wp:simplePos x="0" y="0"/>
                  <wp:positionH relativeFrom="column">
                    <wp:posOffset>2564765</wp:posOffset>
                  </wp:positionH>
                  <wp:positionV relativeFrom="paragraph">
                    <wp:posOffset>73660</wp:posOffset>
                  </wp:positionV>
                  <wp:extent cx="1773555" cy="2324100"/>
                  <wp:effectExtent l="0" t="0" r="4445" b="12700"/>
                  <wp:wrapTight wrapText="bothSides">
                    <wp:wrapPolygon edited="0">
                      <wp:start x="0" y="0"/>
                      <wp:lineTo x="0" y="21482"/>
                      <wp:lineTo x="21345" y="21482"/>
                      <wp:lineTo x="21345" y="0"/>
                      <wp:lineTo x="0" y="0"/>
                    </wp:wrapPolygon>
                  </wp:wrapTight>
                  <wp:docPr id="7" name="Picture 7" descr="consignes-plages_459x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onsignes-plages_459x3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3555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5398">
              <w:rPr>
                <w:rFonts w:ascii="Arial" w:hAnsi="Arial" w:cs="Arial"/>
                <w:sz w:val="24"/>
                <w:szCs w:val="24"/>
              </w:rPr>
              <w:t>Moguće je postaviti s</w:t>
            </w:r>
            <w:r w:rsidRPr="00A34140">
              <w:rPr>
                <w:rFonts w:ascii="Arial" w:hAnsi="Arial" w:cs="Arial"/>
                <w:sz w:val="24"/>
                <w:szCs w:val="24"/>
              </w:rPr>
              <w:t xml:space="preserve">ef na plaži </w:t>
            </w:r>
            <w:r w:rsidR="00475398">
              <w:rPr>
                <w:rFonts w:ascii="Arial" w:hAnsi="Arial" w:cs="Arial"/>
                <w:sz w:val="24"/>
                <w:szCs w:val="24"/>
              </w:rPr>
              <w:t xml:space="preserve">koji </w:t>
            </w:r>
            <w:r w:rsidRPr="00A34140">
              <w:rPr>
                <w:rFonts w:ascii="Arial" w:hAnsi="Arial" w:cs="Arial"/>
                <w:sz w:val="24"/>
                <w:szCs w:val="24"/>
              </w:rPr>
              <w:t>mora biti prefabrikovani objekat, kružne ili pravougaone osnove, visine do 200 cm, prečnika osnove do 160 cm, odnosno dimenzija do 1.2 x 1.2 m, a dimenzija pojedinačnog boksa je 40x40 cm.</w:t>
            </w:r>
          </w:p>
          <w:p w14:paraId="335EE2B2" w14:textId="77777777" w:rsidR="000C6DC9" w:rsidRPr="00A34140" w:rsidRDefault="000C6DC9" w:rsidP="000C6DC9">
            <w:pPr>
              <w:suppressAutoHyphens/>
              <w:ind w:left="114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5EE2B3" w14:textId="77777777" w:rsidR="000C6DC9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 xml:space="preserve">Konstrukcija može da bude od nerđajućeg čelika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pocinčanog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plastificiranog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u boji ili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plastificiranog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aluminijuma. Montira se na ravnu daščanu podlogu. Izbor boja u velikoj mjeri zavisi od ambijenta. Poželjne boje su pastelne nijanse bež boje radi ambijentalnog uklapanja u okruženje;</w:t>
            </w:r>
          </w:p>
          <w:p w14:paraId="1DAB32D0" w14:textId="77777777" w:rsidR="00E86194" w:rsidRPr="00A34140" w:rsidRDefault="00E86194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5EE2B4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 xml:space="preserve">Sefovi na plaži se odobravaju po zahtjevu korisnika kupališta i mogu se odobriti na svim kupalištima bez potrebe dodatnog unošenja lokacije u grafički dio Programa. Poželjno ih je pozicionirati u blizini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plažnih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barova, ukoliko postoje na kupalištu;</w:t>
            </w:r>
          </w:p>
          <w:p w14:paraId="335EE2B5" w14:textId="77777777" w:rsidR="000C6DC9" w:rsidRPr="00A34140" w:rsidRDefault="000C6DC9" w:rsidP="000C6DC9">
            <w:pPr>
              <w:suppressAutoHyphens/>
              <w:ind w:left="114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5EE2B6" w14:textId="77777777" w:rsidR="000C6DC9" w:rsidRPr="00A34140" w:rsidRDefault="000C6DC9" w:rsidP="000C6DC9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 xml:space="preserve">Na svakom kupalištu dužine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preko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50m dozvoljeno je postaviti po jedno dječje igralište - privremeni objekat koji čini skup konstruktivnih elemenata, uređaja i druge opreme (na naduvavanje i sl.) koji se postavljaju na gotovu ili montažno-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demontažnu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podlogu. To je prostorno definisana cjelina čije zauzeće površine zavisi od vrste i broja naprava za igru djece. Sve naprave moraju biti izrađene od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savremenih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 i kvalitetnih materijala s potrebnim atestima;</w:t>
            </w:r>
          </w:p>
          <w:p w14:paraId="335EE2B7" w14:textId="77777777" w:rsidR="000C6DC9" w:rsidRPr="00A34140" w:rsidRDefault="000C6DC9" w:rsidP="000C6DC9">
            <w:pPr>
              <w:pStyle w:val="ListParagraph"/>
              <w:suppressAutoHyphens/>
              <w:ind w:left="114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5EE2B8" w14:textId="77777777" w:rsidR="000C6DC9" w:rsidRPr="00A34140" w:rsidRDefault="000C6DC9" w:rsidP="000C6DC9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>Dječje igralište se postavlja na račun površine predviđene za smještaj ležaljki i njegova površina ne može biti veća od 5% površine kupališta;</w:t>
            </w:r>
          </w:p>
          <w:p w14:paraId="335EE2B9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5EE2BA" w14:textId="77777777" w:rsidR="000C6DC9" w:rsidRPr="00A34140" w:rsidRDefault="000C6DC9" w:rsidP="000C6DC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 xml:space="preserve">Otvorene površine u funkciji privremenog objekta koje se mogu naći na kupalištu su otvoreni sportski tereni (odbojka na pijesku,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badminton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, mali fudbal </w:t>
            </w:r>
            <w:proofErr w:type="spellStart"/>
            <w:r w:rsidRPr="00A34140">
              <w:rPr>
                <w:rFonts w:ascii="Arial" w:hAnsi="Arial" w:cs="Arial"/>
                <w:sz w:val="24"/>
                <w:szCs w:val="24"/>
              </w:rPr>
              <w:t>itd</w:t>
            </w:r>
            <w:proofErr w:type="spellEnd"/>
            <w:r w:rsidRPr="00A34140">
              <w:rPr>
                <w:rFonts w:ascii="Arial" w:hAnsi="Arial" w:cs="Arial"/>
                <w:sz w:val="24"/>
                <w:szCs w:val="24"/>
              </w:rPr>
              <w:t xml:space="preserve">), dok se van površine, ali za potrebe kupališta mogu predvidjeti privremena parkirališta. </w:t>
            </w:r>
          </w:p>
          <w:p w14:paraId="335EE2BB" w14:textId="77777777" w:rsidR="00BE68C1" w:rsidRPr="00DD38A1" w:rsidRDefault="00BE68C1" w:rsidP="000831F6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335EE2B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335EE2B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335EE2BE" w14:textId="77777777" w:rsidR="002669FD" w:rsidRPr="00A34140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4140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335EE2C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335EE2C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335EE2C1" w14:textId="11E13711" w:rsidR="009000DD" w:rsidRPr="00DD38A1" w:rsidRDefault="000C6DC9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140">
              <w:rPr>
                <w:rFonts w:ascii="Arial" w:hAnsi="Arial" w:cs="Arial"/>
                <w:sz w:val="24"/>
                <w:szCs w:val="24"/>
              </w:rPr>
              <w:t xml:space="preserve">Kupalište označeno kao </w:t>
            </w:r>
            <w:r w:rsidR="00E8246E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7E44F1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6A2D71">
              <w:rPr>
                <w:rFonts w:ascii="Arial" w:hAnsi="Arial" w:cs="Arial"/>
                <w:b/>
                <w:bCs/>
                <w:sz w:val="24"/>
                <w:szCs w:val="24"/>
              </w:rPr>
              <w:t>A2</w:t>
            </w:r>
            <w:r w:rsidR="008C6299" w:rsidRPr="008C62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000DD" w:rsidRPr="00A34140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proofErr w:type="spellEnd"/>
            <w:r w:rsidR="009000DD" w:rsidRPr="00DD38A1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A34140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A3414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A3414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55B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kat</w:t>
            </w:r>
            <w:r w:rsidR="000A54B4" w:rsidRPr="0001037A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6455B5" w:rsidRPr="000103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9457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</w:t>
            </w:r>
            <w:r w:rsidR="006455B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arc</w:t>
            </w:r>
            <w:r w:rsidR="0001037A" w:rsidRPr="00804D4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6A2D71">
              <w:rPr>
                <w:rFonts w:ascii="Arial" w:hAnsi="Arial" w:cs="Arial"/>
                <w:b/>
                <w:bCs/>
                <w:sz w:val="24"/>
                <w:szCs w:val="24"/>
              </w:rPr>
              <w:t>756,754/1,2942, 755 i 1717</w:t>
            </w:r>
            <w:r w:rsidR="00081B62" w:rsidRPr="000103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C6299">
              <w:rPr>
                <w:rFonts w:ascii="Arial" w:hAnsi="Arial" w:cs="Arial"/>
                <w:b/>
                <w:bCs/>
                <w:sz w:val="24"/>
                <w:szCs w:val="24"/>
              </w:rPr>
              <w:t>KO</w:t>
            </w:r>
            <w:r w:rsidR="003F31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A050E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="007E44F1">
              <w:rPr>
                <w:rFonts w:ascii="Arial" w:hAnsi="Arial" w:cs="Arial"/>
                <w:b/>
                <w:bCs/>
                <w:sz w:val="24"/>
                <w:szCs w:val="24"/>
              </w:rPr>
              <w:t>ijela</w:t>
            </w:r>
            <w:r w:rsidR="003F31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8C62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Op</w:t>
            </w:r>
            <w:r w:rsidR="003D6615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8C6299">
              <w:rPr>
                <w:rFonts w:ascii="Arial" w:hAnsi="Arial" w:cs="Arial"/>
                <w:b/>
                <w:bCs/>
                <w:sz w:val="24"/>
                <w:szCs w:val="24"/>
              </w:rPr>
              <w:t>tina Herceg Novi</w:t>
            </w:r>
            <w:r w:rsidR="008C6299" w:rsidRPr="008C629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35EE2C2" w14:textId="77777777" w:rsidR="002669FD" w:rsidRPr="00A34140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3CE2" w:rsidRPr="007B3552" w14:paraId="68AA7E56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</w:tcPr>
          <w:p w14:paraId="79DDA053" w14:textId="75261307" w:rsidR="00C63CE2" w:rsidRPr="00B0112E" w:rsidRDefault="00CA789C" w:rsidP="00B0112E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B0112E" w:rsidRPr="00B0112E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8831" w:type="dxa"/>
            <w:gridSpan w:val="3"/>
            <w:noWrap/>
          </w:tcPr>
          <w:p w14:paraId="119C2AC8" w14:textId="77777777" w:rsidR="007E44F1" w:rsidRDefault="007E44F1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65C941A" w14:textId="542459F7" w:rsidR="00C63CE2" w:rsidRPr="00A34140" w:rsidRDefault="00B0112E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B0112E" w:rsidRPr="007B3552" w14:paraId="46BF9864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</w:tcPr>
          <w:p w14:paraId="5872375F" w14:textId="77777777" w:rsidR="00B0112E" w:rsidRPr="00B0112E" w:rsidRDefault="00B0112E" w:rsidP="00B0112E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</w:tcPr>
          <w:p w14:paraId="2B09601F" w14:textId="7B49EC58" w:rsidR="00CA789C" w:rsidRDefault="00CA789C" w:rsidP="00CA789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E861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495C588F" w14:textId="77777777" w:rsidR="00E86194" w:rsidRPr="002046B0" w:rsidRDefault="00E86194" w:rsidP="00CA789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1B94840" w14:textId="77777777" w:rsidR="00CA789C" w:rsidRPr="002046B0" w:rsidRDefault="00CA789C" w:rsidP="00CA789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 sredinu (prekomjerna buka, štetna isparenja, opasni otpad i sl.).</w:t>
            </w:r>
          </w:p>
          <w:p w14:paraId="5C15818F" w14:textId="77777777" w:rsidR="00CA789C" w:rsidRDefault="00CA789C" w:rsidP="00CA789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8628F34" w14:textId="77777777" w:rsidR="00E86194" w:rsidRDefault="00E86194" w:rsidP="00CA789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EC64F4" w14:textId="77777777" w:rsidR="00E86194" w:rsidRDefault="00E86194" w:rsidP="00CA789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4A1E1D4" w14:textId="77777777" w:rsidR="00E86194" w:rsidRDefault="00E86194" w:rsidP="00CA789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5E0319" w14:textId="77777777" w:rsidR="00E86194" w:rsidRDefault="00E86194" w:rsidP="00CA789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838C69A" w14:textId="77777777" w:rsidR="00E86194" w:rsidRPr="002046B0" w:rsidRDefault="00E86194" w:rsidP="00CA789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0C31313" w14:textId="7BEA168C" w:rsidR="00B0112E" w:rsidRPr="007B3552" w:rsidRDefault="00CA789C" w:rsidP="00CA789C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Tehničkom dokumentacijom predvidjeti uslove i mjere za zaštitu životne sredine u skladu sa odredbama Zakona o procjeni uticaja na životnu sredinu („Službeni list CG“, br.80/05, 40/10, 73/10, 40/11, 27/13 i 52/16) i Zakonom za zaštitu prirode („Službeni list CG“, br.54/16</w:t>
            </w:r>
            <w:r w:rsidR="00935F18">
              <w:rPr>
                <w:rFonts w:ascii="Arial" w:hAnsi="Arial" w:cs="Arial"/>
                <w:sz w:val="24"/>
                <w:szCs w:val="24"/>
              </w:rPr>
              <w:t>,</w:t>
            </w:r>
            <w:r w:rsidR="003909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35F18">
              <w:rPr>
                <w:rFonts w:ascii="Arial" w:hAnsi="Arial" w:cs="Arial"/>
                <w:sz w:val="24"/>
                <w:szCs w:val="24"/>
              </w:rPr>
              <w:t>018/19</w:t>
            </w:r>
            <w:r w:rsidRPr="002046B0">
              <w:rPr>
                <w:rFonts w:ascii="Arial" w:hAnsi="Arial" w:cs="Arial"/>
                <w:sz w:val="24"/>
                <w:szCs w:val="24"/>
              </w:rPr>
              <w:t>) 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335EE2C6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335EE2C4" w14:textId="46A4B2D4" w:rsidR="00727CDC" w:rsidRPr="007B3552" w:rsidRDefault="00CA789C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335EE2C5" w14:textId="77777777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</w:p>
        </w:tc>
      </w:tr>
      <w:tr w:rsidR="007B3552" w:rsidRPr="007B3552" w14:paraId="335EE2CB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335EE2C7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335EE2C8" w14:textId="77777777" w:rsidR="007B3552" w:rsidRPr="002046B0" w:rsidRDefault="007B3552" w:rsidP="001F6D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DD38A1">
              <w:rPr>
                <w:rFonts w:ascii="Arial" w:hAnsi="Arial" w:cs="Arial"/>
                <w:sz w:val="24"/>
                <w:szCs w:val="24"/>
              </w:rPr>
              <w:t>šć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DD38A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>č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="001F6D4F" w:rsidRPr="00DD38A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DD38A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h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DD38A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="001F6D4F" w:rsidRPr="00DD38A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>č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dzemnih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DD38A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kti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tacije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6D4F"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="001F6D4F"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r w:rsidRPr="00DD38A1">
              <w:rPr>
                <w:rFonts w:ascii="Arial" w:hAnsi="Arial" w:cs="Arial"/>
                <w:sz w:val="24"/>
                <w:szCs w:val="24"/>
              </w:rPr>
              <w:t>šč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DD38A1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DD38A1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335EE2C9" w14:textId="77777777" w:rsidR="007B3552" w:rsidRDefault="007B3552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2CA04B76" w14:textId="77777777" w:rsidR="008C6299" w:rsidRDefault="008C6299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0302DD0" w14:textId="77777777" w:rsidR="00C129DF" w:rsidRDefault="00C129DF" w:rsidP="00C129D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299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131DFC35" w14:textId="77777777" w:rsidR="00E86194" w:rsidRPr="008C6299" w:rsidRDefault="00E86194" w:rsidP="00C129D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5A70AF" w14:textId="77777777" w:rsidR="00C129DF" w:rsidRDefault="00C129DF" w:rsidP="00C129D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299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8C6299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2DE48D18" w14:textId="77777777" w:rsidR="00E86194" w:rsidRPr="008C6299" w:rsidRDefault="00E86194" w:rsidP="00C129D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935CCB8" w14:textId="2FA1C789" w:rsidR="00C129DF" w:rsidRDefault="00C129DF" w:rsidP="00C129D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2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6299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8C6299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719AADB3" w14:textId="77777777" w:rsidR="003D6615" w:rsidRDefault="003D6615" w:rsidP="00C129D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6F9A34" w14:textId="77777777" w:rsidR="003D6615" w:rsidRPr="00DD38A1" w:rsidRDefault="003D6615" w:rsidP="00C129D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5EE2CA" w14:textId="77777777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335EE2CE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335EE2CC" w14:textId="77DB5C5B" w:rsidR="00727CDC" w:rsidRPr="007B3552" w:rsidRDefault="00CA789C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335EE2CD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335EE2D1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335EE2CF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7B379ED6" w14:textId="77777777" w:rsidR="00667AA8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Tehničkom dokumentacijom </w:t>
            </w:r>
            <w:proofErr w:type="spellStart"/>
            <w:r w:rsidRPr="007B3552">
              <w:rPr>
                <w:rFonts w:ascii="Arial" w:hAnsi="Arial" w:cs="Arial"/>
                <w:sz w:val="24"/>
                <w:szCs w:val="24"/>
              </w:rPr>
              <w:t>obezbjediti</w:t>
            </w:r>
            <w:proofErr w:type="spellEnd"/>
            <w:r w:rsidRPr="007B3552">
              <w:rPr>
                <w:rFonts w:ascii="Arial" w:hAnsi="Arial" w:cs="Arial"/>
                <w:sz w:val="24"/>
                <w:szCs w:val="24"/>
              </w:rPr>
              <w:t xml:space="preserve">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  <w:p w14:paraId="335EE2D0" w14:textId="77777777" w:rsidR="00E86194" w:rsidRPr="007B3552" w:rsidRDefault="00E86194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335EE2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335EE2D2" w14:textId="1803C733" w:rsidR="00727CDC" w:rsidRPr="007B3552" w:rsidRDefault="00CA789C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335EE2D3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335EE2D9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335EE2D5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335EE2D6" w14:textId="77777777" w:rsidR="005D2DD2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</w:t>
            </w:r>
            <w:proofErr w:type="spellStart"/>
            <w:r w:rsidR="004D3A5C" w:rsidRPr="002046B0">
              <w:rPr>
                <w:rFonts w:ascii="Arial" w:hAnsi="Arial" w:cs="Arial"/>
                <w:sz w:val="24"/>
                <w:szCs w:val="24"/>
              </w:rPr>
              <w:t>elektrodistribucija</w:t>
            </w:r>
            <w:proofErr w:type="spellEnd"/>
            <w:r w:rsidR="004D3A5C" w:rsidRPr="002046B0">
              <w:rPr>
                <w:rFonts w:ascii="Arial" w:hAnsi="Arial" w:cs="Arial"/>
                <w:sz w:val="24"/>
                <w:szCs w:val="24"/>
              </w:rPr>
              <w:t>), kao i uslovima koji proizilaze iz Zakona o bezbjednosti hrane;</w:t>
            </w:r>
          </w:p>
          <w:p w14:paraId="148966CF" w14:textId="77777777" w:rsidR="00E86194" w:rsidRPr="002046B0" w:rsidRDefault="00E86194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5EE2D7" w14:textId="77777777" w:rsidR="000E2C85" w:rsidRDefault="001D7599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uz uređeno kupalište i u njegovom zaleđu, gdje za to postoje infrastrukturni priključci može se odobriti postavljanje montažno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</w:rPr>
              <w:t>demontažnih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</w:rPr>
              <w:t xml:space="preserve"> sanitarnih objekata u površinama srazmjerno veličini ugostiteljskog objekta, odnosno kupališta i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 xml:space="preserve">zakonskim propisima bez potrebe predviđanja istih u grafičkom dijelu plana objekata privremenog karaktera. Na kupalištima i u njihovom zaleđu sanitarni objekti mogu biti i kontejnerskog tipa; </w:t>
            </w:r>
          </w:p>
          <w:p w14:paraId="20F2333F" w14:textId="77777777" w:rsidR="00E86194" w:rsidRPr="002046B0" w:rsidRDefault="00E86194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3392FD" w14:textId="77777777" w:rsidR="00727CDC" w:rsidRDefault="001D7599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neophodno je predvidjeti uklanjanje svih montažnih toaleta nakon završetka sezone;</w:t>
            </w:r>
          </w:p>
          <w:p w14:paraId="335EE2D8" w14:textId="77777777" w:rsidR="00E86194" w:rsidRPr="007B3552" w:rsidRDefault="00E86194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335EE2D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335EE2DA" w14:textId="08CA6766" w:rsidR="00727CDC" w:rsidRPr="007B3552" w:rsidRDefault="00CA789C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335EE2DB" w14:textId="528639D2" w:rsidR="00C13853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B509D3" w:rsidRPr="007B3552" w14:paraId="5A76FCD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58538F65" w14:textId="62F5279D" w:rsidR="00B509D3" w:rsidRDefault="00011110" w:rsidP="0001111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10.1</w:t>
            </w:r>
          </w:p>
        </w:tc>
        <w:tc>
          <w:tcPr>
            <w:tcW w:w="8831" w:type="dxa"/>
            <w:gridSpan w:val="3"/>
            <w:noWrap/>
            <w:vAlign w:val="center"/>
          </w:tcPr>
          <w:p w14:paraId="18B1076F" w14:textId="3E1FCA9C" w:rsidR="00B509D3" w:rsidRPr="007B3552" w:rsidRDefault="00011110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C13853" w:rsidRPr="007B3552" w14:paraId="0C26B2D3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AE1AA61" w14:textId="77777777" w:rsidR="00C13853" w:rsidRDefault="00C13853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62DE0EEC" w14:textId="77777777" w:rsidR="00DA4C5B" w:rsidRPr="00AE5BAF" w:rsidRDefault="00DA4C5B" w:rsidP="00DA4C5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7BEF4C85" w14:textId="77777777" w:rsidR="00DA4C5B" w:rsidRPr="007B3552" w:rsidRDefault="00DA4C5B" w:rsidP="00DA4C5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•Tehnička preporuka za priključke potrošača na niskonaponsku mrežu TP-2 (II dopunjeno izdanje)</w:t>
            </w:r>
          </w:p>
          <w:p w14:paraId="265793E3" w14:textId="77777777" w:rsidR="00DA4C5B" w:rsidRPr="007B3552" w:rsidRDefault="00DA4C5B" w:rsidP="00DA4C5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•Tehnička preporuka – </w:t>
            </w:r>
            <w:proofErr w:type="spellStart"/>
            <w:r w:rsidRPr="007B3552">
              <w:rPr>
                <w:rFonts w:ascii="Arial" w:hAnsi="Arial" w:cs="Arial"/>
                <w:sz w:val="24"/>
                <w:szCs w:val="24"/>
              </w:rPr>
              <w:t>Tipizacija</w:t>
            </w:r>
            <w:proofErr w:type="spellEnd"/>
            <w:r w:rsidRPr="007B3552">
              <w:rPr>
                <w:rFonts w:ascii="Arial" w:hAnsi="Arial" w:cs="Arial"/>
                <w:sz w:val="24"/>
                <w:szCs w:val="24"/>
              </w:rPr>
              <w:t xml:space="preserve"> mjernih mjesta</w:t>
            </w:r>
          </w:p>
          <w:p w14:paraId="08D131D4" w14:textId="052EF51E" w:rsidR="00DA4C5B" w:rsidRPr="007B3552" w:rsidRDefault="00DA4C5B" w:rsidP="00DA4C5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•Uputstvo i tehnički uslovi za izbor i ugradnju </w:t>
            </w:r>
            <w:proofErr w:type="spellStart"/>
            <w:r w:rsidRPr="007B3552">
              <w:rPr>
                <w:rFonts w:ascii="Arial" w:hAnsi="Arial" w:cs="Arial"/>
                <w:sz w:val="24"/>
                <w:szCs w:val="24"/>
              </w:rPr>
              <w:t>ogranič</w:t>
            </w:r>
            <w:r w:rsidR="003909AE">
              <w:rPr>
                <w:rFonts w:ascii="Arial" w:hAnsi="Arial" w:cs="Arial"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sz w:val="24"/>
                <w:szCs w:val="24"/>
              </w:rPr>
              <w:t>vača</w:t>
            </w:r>
            <w:proofErr w:type="spellEnd"/>
            <w:r w:rsidRPr="007B3552">
              <w:rPr>
                <w:rFonts w:ascii="Arial" w:hAnsi="Arial" w:cs="Arial"/>
                <w:sz w:val="24"/>
                <w:szCs w:val="24"/>
              </w:rPr>
              <w:t xml:space="preserve"> strujnog opterećenja</w:t>
            </w:r>
          </w:p>
          <w:p w14:paraId="457149CC" w14:textId="77777777" w:rsidR="00C13853" w:rsidRDefault="00DA4C5B" w:rsidP="00DA4C5B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•Tehnička preporuka TP-1b - Distributivna transformatorska stanica   DTS – EPCG 10/0.4 </w:t>
            </w:r>
            <w:proofErr w:type="spellStart"/>
            <w:r w:rsidRPr="007B3552">
              <w:rPr>
                <w:rFonts w:ascii="Arial" w:hAnsi="Arial" w:cs="Arial"/>
                <w:sz w:val="24"/>
                <w:szCs w:val="24"/>
              </w:rPr>
              <w:t>Kv</w:t>
            </w:r>
            <w:proofErr w:type="spellEnd"/>
          </w:p>
          <w:p w14:paraId="5E5208C1" w14:textId="5C7134A2" w:rsidR="00E86194" w:rsidRPr="007B3552" w:rsidRDefault="00E86194" w:rsidP="00DA4C5B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335EE2E8" w14:textId="77777777" w:rsidTr="008E7CB4">
        <w:trPr>
          <w:trHeight w:val="690"/>
          <w:jc w:val="center"/>
        </w:trPr>
        <w:tc>
          <w:tcPr>
            <w:tcW w:w="1087" w:type="dxa"/>
            <w:noWrap/>
            <w:vAlign w:val="center"/>
            <w:hideMark/>
          </w:tcPr>
          <w:p w14:paraId="335EE2E5" w14:textId="4A1C98E8" w:rsidR="00727CDC" w:rsidRPr="007B3552" w:rsidRDefault="00A97F2B" w:rsidP="00A34140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CA789C">
              <w:rPr>
                <w:rFonts w:ascii="Arial" w:hAnsi="Arial" w:cs="Arial"/>
                <w:sz w:val="24"/>
                <w:szCs w:val="24"/>
              </w:rPr>
              <w:t>1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335EE2E6" w14:textId="77777777" w:rsidR="00A34140" w:rsidRPr="007B3552" w:rsidRDefault="00A34140" w:rsidP="00A3414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</w:t>
            </w:r>
            <w:r>
              <w:rPr>
                <w:rFonts w:ascii="Arial" w:hAnsi="Arial" w:cs="Arial"/>
                <w:sz w:val="24"/>
                <w:szCs w:val="24"/>
              </w:rPr>
              <w:t>44/18</w:t>
            </w:r>
            <w:r w:rsidRPr="007B3552"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0DD26560" w14:textId="77777777" w:rsidR="00727CDC" w:rsidRDefault="00A34140" w:rsidP="00A3414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335EE2E7" w14:textId="77777777" w:rsidR="00E86194" w:rsidRPr="007B3552" w:rsidRDefault="00E86194" w:rsidP="00A3414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335EE2EE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335EE2EB" w14:textId="3FB7095E" w:rsidR="00727CDC" w:rsidRPr="007B3552" w:rsidRDefault="00A97F2B" w:rsidP="00A34140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CA789C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335EE2EC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03425602" w14:textId="77777777" w:rsidR="001D0CD8" w:rsidRDefault="00E57BED" w:rsidP="002B3A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Potrebno je uraditi I</w:t>
            </w:r>
            <w:r w:rsidR="00265AD8" w:rsidRPr="00265AD8">
              <w:rPr>
                <w:rFonts w:ascii="Arial" w:hAnsi="Arial" w:cs="Arial"/>
                <w:b/>
                <w:sz w:val="24"/>
                <w:szCs w:val="24"/>
              </w:rPr>
              <w:t xml:space="preserve">dejno </w:t>
            </w:r>
            <w:r w:rsidR="00A34140">
              <w:rPr>
                <w:rFonts w:ascii="Arial" w:hAnsi="Arial" w:cs="Arial"/>
                <w:b/>
                <w:sz w:val="24"/>
                <w:szCs w:val="24"/>
              </w:rPr>
              <w:t xml:space="preserve">rješenje privremenih objekata na kupalištu </w:t>
            </w:r>
            <w:r>
              <w:rPr>
                <w:rFonts w:ascii="Arial" w:hAnsi="Arial" w:cs="Arial"/>
                <w:b/>
                <w:sz w:val="24"/>
                <w:szCs w:val="24"/>
              </w:rPr>
              <w:t>sa</w:t>
            </w:r>
            <w:r w:rsidR="00A34140">
              <w:rPr>
                <w:rFonts w:ascii="Arial" w:hAnsi="Arial" w:cs="Arial"/>
                <w:b/>
                <w:sz w:val="24"/>
                <w:szCs w:val="24"/>
              </w:rPr>
              <w:t xml:space="preserve"> dispozicijom</w:t>
            </w:r>
            <w:r w:rsidR="00666D9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34140">
              <w:rPr>
                <w:rFonts w:ascii="Arial" w:hAnsi="Arial" w:cs="Arial"/>
                <w:b/>
                <w:sz w:val="24"/>
                <w:szCs w:val="24"/>
              </w:rPr>
              <w:t xml:space="preserve">pokretnih privremenih objekata na osnovu </w:t>
            </w:r>
            <w:r w:rsidR="001D0CD8" w:rsidRPr="001D0CD8">
              <w:rPr>
                <w:rFonts w:ascii="Arial" w:hAnsi="Arial" w:cs="Arial"/>
                <w:b/>
                <w:sz w:val="24"/>
                <w:szCs w:val="24"/>
              </w:rPr>
              <w:t xml:space="preserve">ovih UTU, </w:t>
            </w:r>
            <w:r w:rsidR="00A34140">
              <w:rPr>
                <w:rFonts w:ascii="Arial" w:hAnsi="Arial" w:cs="Arial"/>
                <w:b/>
                <w:sz w:val="24"/>
                <w:szCs w:val="24"/>
              </w:rPr>
              <w:t xml:space="preserve">Uslova za </w:t>
            </w:r>
            <w:r w:rsidR="001D0CD8">
              <w:rPr>
                <w:rFonts w:ascii="Arial" w:hAnsi="Arial" w:cs="Arial"/>
                <w:b/>
                <w:sz w:val="24"/>
                <w:szCs w:val="24"/>
              </w:rPr>
              <w:t>organizaciju</w:t>
            </w:r>
            <w:r w:rsidR="00A34140">
              <w:rPr>
                <w:rFonts w:ascii="Arial" w:hAnsi="Arial" w:cs="Arial"/>
                <w:b/>
                <w:sz w:val="24"/>
                <w:szCs w:val="24"/>
              </w:rPr>
              <w:t xml:space="preserve"> kupališta koji su sastavni dio ovih UTU i </w:t>
            </w:r>
            <w:r w:rsidR="00265AD8" w:rsidRPr="00265AD8">
              <w:rPr>
                <w:rFonts w:ascii="Arial" w:hAnsi="Arial" w:cs="Arial"/>
                <w:b/>
                <w:sz w:val="24"/>
                <w:szCs w:val="24"/>
              </w:rPr>
              <w:t xml:space="preserve"> fotografij</w:t>
            </w:r>
            <w:r>
              <w:rPr>
                <w:rFonts w:ascii="Arial" w:hAnsi="Arial" w:cs="Arial"/>
                <w:b/>
                <w:sz w:val="24"/>
                <w:szCs w:val="24"/>
              </w:rPr>
              <w:t>ama</w:t>
            </w:r>
            <w:r w:rsidR="00265AD8" w:rsidRPr="00265AD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34140">
              <w:rPr>
                <w:rFonts w:ascii="Arial" w:hAnsi="Arial" w:cs="Arial"/>
                <w:b/>
                <w:sz w:val="24"/>
                <w:szCs w:val="24"/>
              </w:rPr>
              <w:t xml:space="preserve">objekata za koje nije tražena izrada Idejnog rješenja </w:t>
            </w:r>
          </w:p>
          <w:p w14:paraId="335EE2ED" w14:textId="77777777" w:rsidR="00E86194" w:rsidRPr="002B3A68" w:rsidRDefault="00E86194" w:rsidP="002B3A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7B3552" w:rsidRPr="007B3552" w14:paraId="335EE2F3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335EE2EF" w14:textId="5297222B" w:rsidR="00727CDC" w:rsidRPr="007B3552" w:rsidRDefault="002A2868" w:rsidP="00A34140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A789C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335EE2F1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08095A3" w14:textId="77777777" w:rsidR="00753FA7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  <w:p w14:paraId="335EE2F2" w14:textId="77777777" w:rsidR="00E86194" w:rsidRPr="007B3552" w:rsidRDefault="00E86194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CB4" w:rsidRPr="007B3552" w14:paraId="335EE2F7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335EE2F4" w14:textId="19D5683B" w:rsidR="008E7CB4" w:rsidRPr="007B3552" w:rsidRDefault="002A2868" w:rsidP="00A34140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CA789C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335EE2F5" w14:textId="6C3ED9D5" w:rsidR="008E7CB4" w:rsidRDefault="008E7CB4" w:rsidP="003F09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- </w:t>
            </w:r>
            <w:r w:rsidRPr="00185344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U skladu sa članom br. 40 Zakona o zaštiti prirode (</w:t>
            </w:r>
            <w:proofErr w:type="spellStart"/>
            <w:r w:rsidRPr="00185344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sl.list</w:t>
            </w:r>
            <w:proofErr w:type="spellEnd"/>
            <w:r w:rsidRPr="00185344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Crne Gore 54/16</w:t>
            </w:r>
            <w:r w:rsidR="00935F18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, 018/19</w:t>
            </w:r>
            <w:r w:rsidRPr="00185344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) potrebno je od Agencije za zaštitu prirode i životne sredine pribaviti </w:t>
            </w:r>
            <w:r w:rsidR="00F84A14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</w:t>
            </w:r>
            <w:r w:rsidRPr="00185344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ozvolu za obavljanje radnji, aktivnosti i </w:t>
            </w:r>
            <w:proofErr w:type="spellStart"/>
            <w:r w:rsidRPr="00185344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djelatnosti</w:t>
            </w:r>
            <w:proofErr w:type="spellEnd"/>
            <w:r w:rsidRPr="00185344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u zaštićenom području.</w:t>
            </w:r>
          </w:p>
          <w:p w14:paraId="335EE2F6" w14:textId="77777777" w:rsidR="008E7CB4" w:rsidRPr="007B3552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CB4" w:rsidRPr="007B3552" w14:paraId="335EE2FB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335EE2F8" w14:textId="144B3582" w:rsidR="008E7CB4" w:rsidRDefault="002A2868" w:rsidP="00A34140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CA789C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6DB40C09" w14:textId="77777777" w:rsidR="00E86194" w:rsidRDefault="008E7CB4" w:rsidP="008C6299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</w:t>
            </w:r>
            <w:r w:rsidR="00F84A14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Nakon izrade dokumentacije tražene UTU potrebno je JPMD dostaviti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IDEJNO RJEŠENJE</w:t>
            </w:r>
            <w:r w:rsidR="00F84A14"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="00F84A14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</w:t>
            </w:r>
            <w:proofErr w:type="spellStart"/>
            <w:r w:rsidR="00F84A14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ovjerenu</w:t>
            </w:r>
            <w:proofErr w:type="spellEnd"/>
            <w:r w:rsidR="00F84A14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kopiju </w:t>
            </w:r>
            <w:r w:rsidR="00F84A14"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="00CA292F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</w:t>
            </w:r>
            <w:proofErr w:type="spellStart"/>
            <w:r w:rsidR="00CA292F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g</w:t>
            </w:r>
            <w:r w:rsidR="00F84A14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dje</w:t>
            </w:r>
            <w:proofErr w:type="spellEnd"/>
            <w:r w:rsidR="00F84A14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je to traženo) </w:t>
            </w:r>
            <w:r w:rsidR="00F84A14"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="00F84A14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</w:t>
            </w:r>
            <w:proofErr w:type="spellStart"/>
            <w:r w:rsidR="00F84A14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djelatnosti</w:t>
            </w:r>
            <w:proofErr w:type="spellEnd"/>
            <w:r w:rsidR="00F84A14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u zaštićenom području izdatu od strane Agencije za zaštitu prirode i životne sredine</w:t>
            </w:r>
            <w:r w:rsidR="0079656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</w:t>
            </w:r>
            <w:r w:rsidR="00BF14CC" w:rsidRPr="008C6299">
              <w:rPr>
                <w:rFonts w:ascii="Arial" w:hAnsi="Arial" w:cs="Arial"/>
                <w:sz w:val="24"/>
                <w:szCs w:val="24"/>
                <w:lang w:val="sr-Latn-CS" w:eastAsia="ar-SA"/>
              </w:rPr>
              <w:t>S</w:t>
            </w:r>
            <w:r w:rsidR="00FD2CEE" w:rsidRPr="008C6299">
              <w:rPr>
                <w:rFonts w:ascii="Arial" w:hAnsi="Arial" w:cs="Arial"/>
                <w:sz w:val="24"/>
                <w:szCs w:val="24"/>
                <w:lang w:val="sr-Latn-CS" w:eastAsia="ar-SA"/>
              </w:rPr>
              <w:t>aglasnost Up</w:t>
            </w:r>
            <w:r w:rsidR="008C6299" w:rsidRPr="008C6299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="00BF14CC" w:rsidRPr="008C6299">
              <w:rPr>
                <w:rFonts w:ascii="Arial" w:hAnsi="Arial" w:cs="Arial"/>
                <w:sz w:val="24"/>
                <w:szCs w:val="24"/>
                <w:lang w:val="sr-Latn-CS" w:eastAsia="ar-SA"/>
              </w:rPr>
              <w:t>ave</w:t>
            </w:r>
            <w:r w:rsidR="00FD2CEE" w:rsidRPr="008C6299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zaštitu kulturnih dobara</w:t>
            </w:r>
            <w:r w:rsidR="008C6299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</w:p>
          <w:p w14:paraId="79A1BA2C" w14:textId="77777777" w:rsidR="00E86194" w:rsidRDefault="00E86194" w:rsidP="008C6299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</w:p>
          <w:p w14:paraId="0728F884" w14:textId="77777777" w:rsidR="00E86194" w:rsidRDefault="00E86194" w:rsidP="008C6299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</w:p>
          <w:p w14:paraId="2C60AC4D" w14:textId="77777777" w:rsidR="00E86194" w:rsidRDefault="00E86194" w:rsidP="008C6299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</w:p>
          <w:p w14:paraId="1A94B7A5" w14:textId="77777777" w:rsidR="00E86194" w:rsidRDefault="00E86194" w:rsidP="008C6299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</w:p>
          <w:p w14:paraId="3B3D65F6" w14:textId="77777777" w:rsidR="00E86194" w:rsidRDefault="00E86194" w:rsidP="008C6299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</w:p>
          <w:p w14:paraId="10809A81" w14:textId="77777777" w:rsidR="00E86194" w:rsidRDefault="00E86194" w:rsidP="008C6299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</w:p>
          <w:p w14:paraId="0776DF31" w14:textId="765D207B" w:rsidR="003F0952" w:rsidRDefault="003F0952" w:rsidP="008C6299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299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</w:t>
            </w:r>
            <w:r w:rsidRPr="008C6299">
              <w:rPr>
                <w:rFonts w:ascii="Arial" w:hAnsi="Arial" w:cs="Arial"/>
                <w:sz w:val="24"/>
                <w:szCs w:val="24"/>
              </w:rPr>
              <w:t xml:space="preserve">prijavu sa svom tehničkom dokumentacijom i Saglasnostima, Dozvolama traženim UTU </w:t>
            </w:r>
            <w:r w:rsidR="00184B10" w:rsidRPr="008C6299">
              <w:rPr>
                <w:rFonts w:ascii="Arial" w:hAnsi="Arial" w:cs="Arial"/>
                <w:sz w:val="24"/>
                <w:szCs w:val="24"/>
              </w:rPr>
              <w:t>nadležnom inspekcijskom organu lokalne uprave</w:t>
            </w:r>
          </w:p>
          <w:p w14:paraId="335EE2FA" w14:textId="6F4617D2" w:rsidR="00E86194" w:rsidRPr="00F84A14" w:rsidRDefault="00E86194" w:rsidP="008C6299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</w:p>
        </w:tc>
      </w:tr>
      <w:tr w:rsidR="007B3552" w:rsidRPr="007B3552" w14:paraId="335EE30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335EE2FC" w14:textId="3CFC9C83" w:rsidR="00727CDC" w:rsidRPr="007B3552" w:rsidRDefault="00F939A8" w:rsidP="00A3414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CA789C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335EE2FD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35EE2FE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AF774FB" w14:textId="77777777" w:rsidR="00184B10" w:rsidRDefault="00184B10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Na</w:t>
            </w:r>
            <w:r w:rsidRPr="00484CD3">
              <w:rPr>
                <w:rFonts w:ascii="Arial" w:hAnsi="Arial" w:cs="Arial"/>
                <w:sz w:val="22"/>
                <w:szCs w:val="22"/>
              </w:rPr>
              <w:t>dležnom inspekcijskom organu lokalne uprave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35EE300" w14:textId="3252BBB2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335EE301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335EE306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335EE303" w14:textId="0BF3CC8D" w:rsidR="00727CDC" w:rsidRPr="007B3552" w:rsidRDefault="00F939A8" w:rsidP="00A3414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CA789C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335EE304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335EE305" w14:textId="7A2DBBC5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335EE30A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335EE307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335EE308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35EE309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335EE30E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335EE30B" w14:textId="12FEB187" w:rsidR="00727CDC" w:rsidRPr="007B3552" w:rsidRDefault="00F939A8" w:rsidP="00A3414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CA789C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335EE30C" w14:textId="63075DDB" w:rsidR="00727CDC" w:rsidRPr="007B3552" w:rsidRDefault="00E86194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RUKOVODILAC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335EE30D" w14:textId="47895AEB" w:rsidR="00727CDC" w:rsidRPr="00C9198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335EE312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335EE30F" w14:textId="59BDFE3F" w:rsidR="00727CDC" w:rsidRPr="007B3552" w:rsidRDefault="00F939A8" w:rsidP="00A3414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4140">
              <w:rPr>
                <w:rFonts w:ascii="Arial" w:hAnsi="Arial" w:cs="Arial"/>
                <w:sz w:val="24"/>
                <w:szCs w:val="24"/>
              </w:rPr>
              <w:t>1</w:t>
            </w:r>
            <w:r w:rsidR="00CA789C">
              <w:rPr>
                <w:rFonts w:ascii="Arial" w:hAnsi="Arial" w:cs="Arial"/>
                <w:sz w:val="24"/>
                <w:szCs w:val="24"/>
              </w:rPr>
              <w:t>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335EE310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335EE311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335EE316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335EE31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335EE314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335EE3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335EE31A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335EE31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335EE318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335EE31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335EE31E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335EE31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335EE31C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335EE31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335EE322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335EE31F" w14:textId="3E8904DD" w:rsidR="0016116A" w:rsidRPr="007B3552" w:rsidRDefault="00F939A8" w:rsidP="00A3414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789C">
              <w:rPr>
                <w:rFonts w:ascii="Arial" w:hAnsi="Arial" w:cs="Arial"/>
                <w:sz w:val="24"/>
                <w:szCs w:val="24"/>
              </w:rPr>
              <w:t>20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335EE320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335EE321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335EE327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335EE323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32B3511E" w14:textId="77777777" w:rsidR="004C5A71" w:rsidRDefault="00D5511F" w:rsidP="00BF14CC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ind w:left="318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Grafički prilog</w:t>
            </w:r>
            <w:r w:rsidR="0016116A" w:rsidRPr="007B3552">
              <w:rPr>
                <w:rFonts w:ascii="Arial" w:hAnsi="Arial" w:cs="Arial"/>
                <w:sz w:val="24"/>
                <w:szCs w:val="24"/>
              </w:rPr>
              <w:t xml:space="preserve"> iz</w:t>
            </w:r>
            <w:r w:rsidR="00BF14CC">
              <w:rPr>
                <w:rFonts w:ascii="Arial" w:hAnsi="Arial" w:cs="Arial"/>
                <w:sz w:val="24"/>
                <w:szCs w:val="24"/>
              </w:rPr>
              <w:t xml:space="preserve"> Izmjena i dopuna</w:t>
            </w:r>
            <w:r w:rsidR="0016116A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4B10">
              <w:rPr>
                <w:rFonts w:ascii="Arial" w:hAnsi="Arial" w:cs="Arial"/>
                <w:sz w:val="24"/>
                <w:szCs w:val="24"/>
              </w:rPr>
              <w:t xml:space="preserve">Programa privremenih objekata </w:t>
            </w:r>
          </w:p>
          <w:p w14:paraId="335EE325" w14:textId="1F9FE911" w:rsidR="00001EB3" w:rsidRPr="007B3552" w:rsidRDefault="00A34140" w:rsidP="00BF14CC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ind w:left="3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Uslovi za organizaciju kupališta</w:t>
            </w:r>
          </w:p>
        </w:tc>
        <w:tc>
          <w:tcPr>
            <w:tcW w:w="4138" w:type="dxa"/>
            <w:gridSpan w:val="2"/>
            <w:noWrap/>
          </w:tcPr>
          <w:p w14:paraId="335EE326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5EE328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335EE329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335EE32A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6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D78F7" w14:textId="77777777" w:rsidR="00871342" w:rsidRDefault="00871342" w:rsidP="0016116A">
      <w:pPr>
        <w:spacing w:after="0" w:line="240" w:lineRule="auto"/>
      </w:pPr>
      <w:r>
        <w:separator/>
      </w:r>
    </w:p>
  </w:endnote>
  <w:endnote w:type="continuationSeparator" w:id="0">
    <w:p w14:paraId="447451C5" w14:textId="77777777" w:rsidR="00871342" w:rsidRDefault="00871342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5EE33C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537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35EE33D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7F5CB" w14:textId="77777777" w:rsidR="00871342" w:rsidRDefault="00871342" w:rsidP="0016116A">
      <w:pPr>
        <w:spacing w:after="0" w:line="240" w:lineRule="auto"/>
      </w:pPr>
      <w:r>
        <w:separator/>
      </w:r>
    </w:p>
  </w:footnote>
  <w:footnote w:type="continuationSeparator" w:id="0">
    <w:p w14:paraId="5C0EBB63" w14:textId="77777777" w:rsidR="00871342" w:rsidRDefault="00871342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018FC"/>
    <w:multiLevelType w:val="hybridMultilevel"/>
    <w:tmpl w:val="668205DA"/>
    <w:lvl w:ilvl="0" w:tplc="B41E80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67DF0"/>
    <w:multiLevelType w:val="hybridMultilevel"/>
    <w:tmpl w:val="5308AFAA"/>
    <w:lvl w:ilvl="0" w:tplc="0F2C839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3D180ADA">
      <w:start w:val="1"/>
      <w:numFmt w:val="decimal"/>
      <w:lvlText w:val="14.%2"/>
      <w:lvlJc w:val="left"/>
      <w:pPr>
        <w:ind w:left="1866" w:hanging="360"/>
      </w:pPr>
      <w:rPr>
        <w:rFonts w:hint="default"/>
      </w:rPr>
    </w:lvl>
    <w:lvl w:ilvl="2" w:tplc="AEDE1FFE">
      <w:start w:val="1"/>
      <w:numFmt w:val="lowerLetter"/>
      <w:lvlText w:val="%3)"/>
      <w:lvlJc w:val="left"/>
      <w:pPr>
        <w:ind w:left="2508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F31B7"/>
    <w:multiLevelType w:val="multilevel"/>
    <w:tmpl w:val="0FC2E410"/>
    <w:lvl w:ilvl="0">
      <w:start w:val="1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6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A7225"/>
    <w:multiLevelType w:val="hybridMultilevel"/>
    <w:tmpl w:val="AFE6BEDE"/>
    <w:lvl w:ilvl="0" w:tplc="0409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973F24"/>
    <w:multiLevelType w:val="hybridMultilevel"/>
    <w:tmpl w:val="4D8ED470"/>
    <w:lvl w:ilvl="0" w:tplc="E518901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229378">
    <w:abstractNumId w:val="11"/>
  </w:num>
  <w:num w:numId="2" w16cid:durableId="665060930">
    <w:abstractNumId w:val="13"/>
  </w:num>
  <w:num w:numId="3" w16cid:durableId="2115635201">
    <w:abstractNumId w:val="19"/>
  </w:num>
  <w:num w:numId="4" w16cid:durableId="1719163866">
    <w:abstractNumId w:val="15"/>
  </w:num>
  <w:num w:numId="5" w16cid:durableId="601038113">
    <w:abstractNumId w:val="4"/>
  </w:num>
  <w:num w:numId="6" w16cid:durableId="278727220">
    <w:abstractNumId w:val="16"/>
  </w:num>
  <w:num w:numId="7" w16cid:durableId="800734867">
    <w:abstractNumId w:val="8"/>
  </w:num>
  <w:num w:numId="8" w16cid:durableId="1233472195">
    <w:abstractNumId w:val="14"/>
  </w:num>
  <w:num w:numId="9" w16cid:durableId="1958178612">
    <w:abstractNumId w:val="0"/>
  </w:num>
  <w:num w:numId="10" w16cid:durableId="315231873">
    <w:abstractNumId w:val="7"/>
  </w:num>
  <w:num w:numId="11" w16cid:durableId="767578694">
    <w:abstractNumId w:val="17"/>
  </w:num>
  <w:num w:numId="12" w16cid:durableId="1573469928">
    <w:abstractNumId w:val="2"/>
  </w:num>
  <w:num w:numId="13" w16cid:durableId="1997804527">
    <w:abstractNumId w:val="10"/>
  </w:num>
  <w:num w:numId="14" w16cid:durableId="153227417">
    <w:abstractNumId w:val="12"/>
  </w:num>
  <w:num w:numId="15" w16cid:durableId="1800802901">
    <w:abstractNumId w:val="6"/>
  </w:num>
  <w:num w:numId="16" w16cid:durableId="501285788">
    <w:abstractNumId w:val="3"/>
  </w:num>
  <w:num w:numId="17" w16cid:durableId="1542327810">
    <w:abstractNumId w:val="9"/>
  </w:num>
  <w:num w:numId="18" w16cid:durableId="112871890">
    <w:abstractNumId w:val="5"/>
  </w:num>
  <w:num w:numId="19" w16cid:durableId="703948060">
    <w:abstractNumId w:val="1"/>
  </w:num>
  <w:num w:numId="20" w16cid:durableId="19918629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037A"/>
    <w:rsid w:val="00011110"/>
    <w:rsid w:val="00015062"/>
    <w:rsid w:val="0002381A"/>
    <w:rsid w:val="0002632F"/>
    <w:rsid w:val="0005186C"/>
    <w:rsid w:val="0006446D"/>
    <w:rsid w:val="000754D4"/>
    <w:rsid w:val="000765B9"/>
    <w:rsid w:val="00081B62"/>
    <w:rsid w:val="000831F6"/>
    <w:rsid w:val="00083F01"/>
    <w:rsid w:val="000949C3"/>
    <w:rsid w:val="00095C24"/>
    <w:rsid w:val="000A02A7"/>
    <w:rsid w:val="000A2649"/>
    <w:rsid w:val="000A54B4"/>
    <w:rsid w:val="000A5E5F"/>
    <w:rsid w:val="000B3110"/>
    <w:rsid w:val="000B430D"/>
    <w:rsid w:val="000C6DC9"/>
    <w:rsid w:val="000D2B86"/>
    <w:rsid w:val="000D472C"/>
    <w:rsid w:val="000E04EF"/>
    <w:rsid w:val="000E1F16"/>
    <w:rsid w:val="000E2C85"/>
    <w:rsid w:val="000F4077"/>
    <w:rsid w:val="000F7077"/>
    <w:rsid w:val="000F7AB5"/>
    <w:rsid w:val="001000B1"/>
    <w:rsid w:val="00103490"/>
    <w:rsid w:val="00107510"/>
    <w:rsid w:val="00113A3E"/>
    <w:rsid w:val="0011715B"/>
    <w:rsid w:val="00125663"/>
    <w:rsid w:val="00134557"/>
    <w:rsid w:val="001347FB"/>
    <w:rsid w:val="0013594D"/>
    <w:rsid w:val="0016116A"/>
    <w:rsid w:val="00173AE7"/>
    <w:rsid w:val="00184B10"/>
    <w:rsid w:val="00185344"/>
    <w:rsid w:val="0019653F"/>
    <w:rsid w:val="001A099B"/>
    <w:rsid w:val="001A189D"/>
    <w:rsid w:val="001A61E9"/>
    <w:rsid w:val="001D0CD8"/>
    <w:rsid w:val="001D7599"/>
    <w:rsid w:val="001E5F4F"/>
    <w:rsid w:val="001F1C79"/>
    <w:rsid w:val="001F6D4F"/>
    <w:rsid w:val="0020380E"/>
    <w:rsid w:val="002046B0"/>
    <w:rsid w:val="002122EA"/>
    <w:rsid w:val="002122FF"/>
    <w:rsid w:val="002156BF"/>
    <w:rsid w:val="00224BF6"/>
    <w:rsid w:val="00232131"/>
    <w:rsid w:val="00236339"/>
    <w:rsid w:val="00236CAB"/>
    <w:rsid w:val="002372B5"/>
    <w:rsid w:val="0024505B"/>
    <w:rsid w:val="00255935"/>
    <w:rsid w:val="00260C25"/>
    <w:rsid w:val="00265AD8"/>
    <w:rsid w:val="002669FD"/>
    <w:rsid w:val="00277DD3"/>
    <w:rsid w:val="00286F51"/>
    <w:rsid w:val="00294EBC"/>
    <w:rsid w:val="002A2868"/>
    <w:rsid w:val="002A4955"/>
    <w:rsid w:val="002B19A6"/>
    <w:rsid w:val="002B2ED5"/>
    <w:rsid w:val="002B3A68"/>
    <w:rsid w:val="002C157A"/>
    <w:rsid w:val="002C21AA"/>
    <w:rsid w:val="002D239E"/>
    <w:rsid w:val="002E1867"/>
    <w:rsid w:val="002F2766"/>
    <w:rsid w:val="002F684A"/>
    <w:rsid w:val="002F7118"/>
    <w:rsid w:val="002F7135"/>
    <w:rsid w:val="0030220E"/>
    <w:rsid w:val="003268BF"/>
    <w:rsid w:val="00333718"/>
    <w:rsid w:val="00345551"/>
    <w:rsid w:val="00353BE4"/>
    <w:rsid w:val="00357388"/>
    <w:rsid w:val="003610B5"/>
    <w:rsid w:val="003770BA"/>
    <w:rsid w:val="00377CC8"/>
    <w:rsid w:val="003807B2"/>
    <w:rsid w:val="003857D4"/>
    <w:rsid w:val="003909AE"/>
    <w:rsid w:val="00392A78"/>
    <w:rsid w:val="003B5350"/>
    <w:rsid w:val="003B6242"/>
    <w:rsid w:val="003C4733"/>
    <w:rsid w:val="003C767C"/>
    <w:rsid w:val="003D6615"/>
    <w:rsid w:val="003E648F"/>
    <w:rsid w:val="003F0952"/>
    <w:rsid w:val="003F31F0"/>
    <w:rsid w:val="004017D2"/>
    <w:rsid w:val="00407029"/>
    <w:rsid w:val="0041540F"/>
    <w:rsid w:val="00425055"/>
    <w:rsid w:val="00426049"/>
    <w:rsid w:val="00435883"/>
    <w:rsid w:val="00443B96"/>
    <w:rsid w:val="00447B22"/>
    <w:rsid w:val="0045279B"/>
    <w:rsid w:val="00467A05"/>
    <w:rsid w:val="00470AE3"/>
    <w:rsid w:val="00472D0C"/>
    <w:rsid w:val="0047326F"/>
    <w:rsid w:val="00475398"/>
    <w:rsid w:val="00480747"/>
    <w:rsid w:val="004864E0"/>
    <w:rsid w:val="00490505"/>
    <w:rsid w:val="00492416"/>
    <w:rsid w:val="004A050E"/>
    <w:rsid w:val="004A2432"/>
    <w:rsid w:val="004B2B22"/>
    <w:rsid w:val="004B49AC"/>
    <w:rsid w:val="004C492F"/>
    <w:rsid w:val="004C5A71"/>
    <w:rsid w:val="004C615B"/>
    <w:rsid w:val="004D3741"/>
    <w:rsid w:val="004D3A5C"/>
    <w:rsid w:val="004D5F23"/>
    <w:rsid w:val="004D7D9C"/>
    <w:rsid w:val="004E0782"/>
    <w:rsid w:val="004E395F"/>
    <w:rsid w:val="00500AB3"/>
    <w:rsid w:val="005040AD"/>
    <w:rsid w:val="005053D0"/>
    <w:rsid w:val="00511986"/>
    <w:rsid w:val="0052681D"/>
    <w:rsid w:val="00530127"/>
    <w:rsid w:val="00537B52"/>
    <w:rsid w:val="0055402A"/>
    <w:rsid w:val="00565D22"/>
    <w:rsid w:val="005821A1"/>
    <w:rsid w:val="005927F6"/>
    <w:rsid w:val="005A5F0F"/>
    <w:rsid w:val="005B1D64"/>
    <w:rsid w:val="005B5E10"/>
    <w:rsid w:val="005B6A81"/>
    <w:rsid w:val="005C0561"/>
    <w:rsid w:val="005C116F"/>
    <w:rsid w:val="005D2DD2"/>
    <w:rsid w:val="005E1C3C"/>
    <w:rsid w:val="005E2F91"/>
    <w:rsid w:val="005F3791"/>
    <w:rsid w:val="005F42CE"/>
    <w:rsid w:val="005F49B8"/>
    <w:rsid w:val="00605A14"/>
    <w:rsid w:val="00607997"/>
    <w:rsid w:val="00614670"/>
    <w:rsid w:val="00624B84"/>
    <w:rsid w:val="00633B05"/>
    <w:rsid w:val="006455B5"/>
    <w:rsid w:val="006463D9"/>
    <w:rsid w:val="00652743"/>
    <w:rsid w:val="00666D99"/>
    <w:rsid w:val="00667AA8"/>
    <w:rsid w:val="006746F6"/>
    <w:rsid w:val="00685DD8"/>
    <w:rsid w:val="0068778A"/>
    <w:rsid w:val="00687ACF"/>
    <w:rsid w:val="006A2D71"/>
    <w:rsid w:val="006C31BC"/>
    <w:rsid w:val="006D43C7"/>
    <w:rsid w:val="006E302B"/>
    <w:rsid w:val="006E5718"/>
    <w:rsid w:val="006F1FD7"/>
    <w:rsid w:val="006F7CE9"/>
    <w:rsid w:val="00704035"/>
    <w:rsid w:val="0070443B"/>
    <w:rsid w:val="007124D5"/>
    <w:rsid w:val="0072176C"/>
    <w:rsid w:val="00727CDC"/>
    <w:rsid w:val="0073095C"/>
    <w:rsid w:val="00730B36"/>
    <w:rsid w:val="00743DAA"/>
    <w:rsid w:val="0074570D"/>
    <w:rsid w:val="00753FA7"/>
    <w:rsid w:val="00756235"/>
    <w:rsid w:val="007862DA"/>
    <w:rsid w:val="007929BD"/>
    <w:rsid w:val="00796565"/>
    <w:rsid w:val="007A4487"/>
    <w:rsid w:val="007A7269"/>
    <w:rsid w:val="007B3552"/>
    <w:rsid w:val="007B579B"/>
    <w:rsid w:val="007B57AD"/>
    <w:rsid w:val="007C103A"/>
    <w:rsid w:val="007D24C8"/>
    <w:rsid w:val="007D67CB"/>
    <w:rsid w:val="007D762A"/>
    <w:rsid w:val="007E01CA"/>
    <w:rsid w:val="007E44F1"/>
    <w:rsid w:val="007F5902"/>
    <w:rsid w:val="0080271A"/>
    <w:rsid w:val="00804D41"/>
    <w:rsid w:val="00835481"/>
    <w:rsid w:val="008357A8"/>
    <w:rsid w:val="008374D5"/>
    <w:rsid w:val="00842010"/>
    <w:rsid w:val="00845F41"/>
    <w:rsid w:val="0085318D"/>
    <w:rsid w:val="00867171"/>
    <w:rsid w:val="00871342"/>
    <w:rsid w:val="00872565"/>
    <w:rsid w:val="00876347"/>
    <w:rsid w:val="00877971"/>
    <w:rsid w:val="00880822"/>
    <w:rsid w:val="0088119C"/>
    <w:rsid w:val="0088480C"/>
    <w:rsid w:val="008907E1"/>
    <w:rsid w:val="008A00FF"/>
    <w:rsid w:val="008A43B4"/>
    <w:rsid w:val="008B089E"/>
    <w:rsid w:val="008B1DAB"/>
    <w:rsid w:val="008B31F0"/>
    <w:rsid w:val="008C6299"/>
    <w:rsid w:val="008C6BF5"/>
    <w:rsid w:val="008D5A2C"/>
    <w:rsid w:val="008D5C45"/>
    <w:rsid w:val="008D5F69"/>
    <w:rsid w:val="008E7CB4"/>
    <w:rsid w:val="008F2399"/>
    <w:rsid w:val="009000DD"/>
    <w:rsid w:val="0090214F"/>
    <w:rsid w:val="00907B23"/>
    <w:rsid w:val="00912A2C"/>
    <w:rsid w:val="00916528"/>
    <w:rsid w:val="00916937"/>
    <w:rsid w:val="00921819"/>
    <w:rsid w:val="009234D4"/>
    <w:rsid w:val="00935F18"/>
    <w:rsid w:val="00940854"/>
    <w:rsid w:val="00941B99"/>
    <w:rsid w:val="009711AF"/>
    <w:rsid w:val="009979E9"/>
    <w:rsid w:val="009A5003"/>
    <w:rsid w:val="009B447C"/>
    <w:rsid w:val="009B6699"/>
    <w:rsid w:val="009C497B"/>
    <w:rsid w:val="009D0BE9"/>
    <w:rsid w:val="009D69B8"/>
    <w:rsid w:val="009E328D"/>
    <w:rsid w:val="009E4CB8"/>
    <w:rsid w:val="00A078E7"/>
    <w:rsid w:val="00A21EB3"/>
    <w:rsid w:val="00A22429"/>
    <w:rsid w:val="00A233B6"/>
    <w:rsid w:val="00A31AA8"/>
    <w:rsid w:val="00A34140"/>
    <w:rsid w:val="00A36C48"/>
    <w:rsid w:val="00A71435"/>
    <w:rsid w:val="00A837FC"/>
    <w:rsid w:val="00A83A97"/>
    <w:rsid w:val="00A905D8"/>
    <w:rsid w:val="00A91B7A"/>
    <w:rsid w:val="00A97F2B"/>
    <w:rsid w:val="00AB623E"/>
    <w:rsid w:val="00AC27C5"/>
    <w:rsid w:val="00AC34CF"/>
    <w:rsid w:val="00AC5846"/>
    <w:rsid w:val="00AE324B"/>
    <w:rsid w:val="00AE3C38"/>
    <w:rsid w:val="00AE5BAF"/>
    <w:rsid w:val="00AF0A1A"/>
    <w:rsid w:val="00B0112E"/>
    <w:rsid w:val="00B025EA"/>
    <w:rsid w:val="00B169E7"/>
    <w:rsid w:val="00B175C1"/>
    <w:rsid w:val="00B2280D"/>
    <w:rsid w:val="00B261A8"/>
    <w:rsid w:val="00B26D17"/>
    <w:rsid w:val="00B30217"/>
    <w:rsid w:val="00B3068C"/>
    <w:rsid w:val="00B331C3"/>
    <w:rsid w:val="00B35307"/>
    <w:rsid w:val="00B45EC2"/>
    <w:rsid w:val="00B468BE"/>
    <w:rsid w:val="00B4797A"/>
    <w:rsid w:val="00B509D3"/>
    <w:rsid w:val="00B53911"/>
    <w:rsid w:val="00B5647F"/>
    <w:rsid w:val="00B6577E"/>
    <w:rsid w:val="00B72474"/>
    <w:rsid w:val="00B73041"/>
    <w:rsid w:val="00B73B5E"/>
    <w:rsid w:val="00B90321"/>
    <w:rsid w:val="00B9537D"/>
    <w:rsid w:val="00BA4143"/>
    <w:rsid w:val="00BB2ACE"/>
    <w:rsid w:val="00BE68C1"/>
    <w:rsid w:val="00BF14CC"/>
    <w:rsid w:val="00BF4976"/>
    <w:rsid w:val="00C129DF"/>
    <w:rsid w:val="00C13853"/>
    <w:rsid w:val="00C20394"/>
    <w:rsid w:val="00C31A79"/>
    <w:rsid w:val="00C32740"/>
    <w:rsid w:val="00C3585C"/>
    <w:rsid w:val="00C530D0"/>
    <w:rsid w:val="00C63CE2"/>
    <w:rsid w:val="00C65E37"/>
    <w:rsid w:val="00C664AB"/>
    <w:rsid w:val="00C7478B"/>
    <w:rsid w:val="00C80838"/>
    <w:rsid w:val="00C91983"/>
    <w:rsid w:val="00C94F2F"/>
    <w:rsid w:val="00C97100"/>
    <w:rsid w:val="00CA1BD2"/>
    <w:rsid w:val="00CA292F"/>
    <w:rsid w:val="00CA789C"/>
    <w:rsid w:val="00CB6B6B"/>
    <w:rsid w:val="00CD2754"/>
    <w:rsid w:val="00D02CE4"/>
    <w:rsid w:val="00D2210A"/>
    <w:rsid w:val="00D251D8"/>
    <w:rsid w:val="00D3265C"/>
    <w:rsid w:val="00D33BFF"/>
    <w:rsid w:val="00D37A30"/>
    <w:rsid w:val="00D40E4C"/>
    <w:rsid w:val="00D450FD"/>
    <w:rsid w:val="00D5511F"/>
    <w:rsid w:val="00D82D12"/>
    <w:rsid w:val="00D8675A"/>
    <w:rsid w:val="00D90125"/>
    <w:rsid w:val="00DA4C5B"/>
    <w:rsid w:val="00DB032D"/>
    <w:rsid w:val="00DB2CDF"/>
    <w:rsid w:val="00DB347E"/>
    <w:rsid w:val="00DB44FD"/>
    <w:rsid w:val="00DC0ACF"/>
    <w:rsid w:val="00DC1A1C"/>
    <w:rsid w:val="00DC5C97"/>
    <w:rsid w:val="00DD38A1"/>
    <w:rsid w:val="00DD7E0D"/>
    <w:rsid w:val="00DE64A6"/>
    <w:rsid w:val="00E102CC"/>
    <w:rsid w:val="00E151B9"/>
    <w:rsid w:val="00E17461"/>
    <w:rsid w:val="00E17D82"/>
    <w:rsid w:val="00E314ED"/>
    <w:rsid w:val="00E32258"/>
    <w:rsid w:val="00E3229F"/>
    <w:rsid w:val="00E5084D"/>
    <w:rsid w:val="00E50E3B"/>
    <w:rsid w:val="00E52EC0"/>
    <w:rsid w:val="00E57BED"/>
    <w:rsid w:val="00E628EF"/>
    <w:rsid w:val="00E6419B"/>
    <w:rsid w:val="00E67301"/>
    <w:rsid w:val="00E70964"/>
    <w:rsid w:val="00E7442F"/>
    <w:rsid w:val="00E748E6"/>
    <w:rsid w:val="00E820CD"/>
    <w:rsid w:val="00E8246E"/>
    <w:rsid w:val="00E86194"/>
    <w:rsid w:val="00E94574"/>
    <w:rsid w:val="00E97628"/>
    <w:rsid w:val="00EC53AE"/>
    <w:rsid w:val="00EC557E"/>
    <w:rsid w:val="00ED0A1A"/>
    <w:rsid w:val="00EF4099"/>
    <w:rsid w:val="00EF553A"/>
    <w:rsid w:val="00EF69DE"/>
    <w:rsid w:val="00F0017F"/>
    <w:rsid w:val="00F04485"/>
    <w:rsid w:val="00F0592E"/>
    <w:rsid w:val="00F14D61"/>
    <w:rsid w:val="00F228D5"/>
    <w:rsid w:val="00F420C3"/>
    <w:rsid w:val="00F467B7"/>
    <w:rsid w:val="00F6565C"/>
    <w:rsid w:val="00F776A5"/>
    <w:rsid w:val="00F842D7"/>
    <w:rsid w:val="00F84A14"/>
    <w:rsid w:val="00F8736A"/>
    <w:rsid w:val="00F9150D"/>
    <w:rsid w:val="00F939A8"/>
    <w:rsid w:val="00F96AB1"/>
    <w:rsid w:val="00FC403B"/>
    <w:rsid w:val="00FC4C0A"/>
    <w:rsid w:val="00FD2CEE"/>
    <w:rsid w:val="00FD68B9"/>
    <w:rsid w:val="00FE2ABD"/>
    <w:rsid w:val="00FE3AA2"/>
    <w:rsid w:val="00FE5879"/>
    <w:rsid w:val="00FE5E10"/>
    <w:rsid w:val="00FF03F2"/>
    <w:rsid w:val="00FF14BD"/>
    <w:rsid w:val="00FF2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EE225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20F68-E1FD-4C80-AF50-E07F25A14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8</Pages>
  <Words>2630</Words>
  <Characters>14991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Nikić Anamari</cp:lastModifiedBy>
  <cp:revision>55</cp:revision>
  <cp:lastPrinted>2019-04-19T08:33:00Z</cp:lastPrinted>
  <dcterms:created xsi:type="dcterms:W3CDTF">2024-12-30T09:02:00Z</dcterms:created>
  <dcterms:modified xsi:type="dcterms:W3CDTF">2025-02-13T12:50:00Z</dcterms:modified>
</cp:coreProperties>
</file>