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6B0326A1" w:rsidR="005053D0" w:rsidRPr="00C20394" w:rsidRDefault="002E79CB" w:rsidP="00D5511F">
      <w:pPr>
        <w:spacing w:after="0" w:line="240" w:lineRule="auto"/>
        <w:jc w:val="center"/>
        <w:rPr>
          <w:rFonts w:ascii="Arial" w:eastAsia="Calibri" w:hAnsi="Arial" w:cs="Arial"/>
          <w:b/>
          <w:sz w:val="32"/>
          <w:szCs w:val="32"/>
        </w:rPr>
      </w:pPr>
      <w:r>
        <w:rPr>
          <w:rFonts w:ascii="Arial" w:eastAsia="Calibri" w:hAnsi="Arial" w:cs="Arial"/>
          <w:b/>
          <w:sz w:val="32"/>
          <w:szCs w:val="32"/>
        </w:rPr>
        <w:t xml:space="preserve">NACRT </w:t>
      </w:r>
      <w:r w:rsidR="00743DAA"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00743DAA" w:rsidRPr="00C20394">
        <w:rPr>
          <w:rFonts w:ascii="Arial" w:eastAsia="Calibri" w:hAnsi="Arial" w:cs="Arial"/>
          <w:b/>
          <w:sz w:val="32"/>
          <w:szCs w:val="32"/>
        </w:rPr>
        <w:t>TEHNIČKI</w:t>
      </w:r>
      <w:r>
        <w:rPr>
          <w:rFonts w:ascii="Arial" w:eastAsia="Calibri" w:hAnsi="Arial" w:cs="Arial"/>
          <w:b/>
          <w:sz w:val="32"/>
          <w:szCs w:val="32"/>
        </w:rPr>
        <w:t>H</w:t>
      </w:r>
      <w:r w:rsidR="00743DAA" w:rsidRPr="00C20394">
        <w:rPr>
          <w:rFonts w:ascii="Arial" w:eastAsia="Calibri" w:hAnsi="Arial" w:cs="Arial"/>
          <w:b/>
          <w:sz w:val="32"/>
          <w:szCs w:val="32"/>
        </w:rPr>
        <w:t xml:space="preserve"> USLOV</w:t>
      </w:r>
      <w:r>
        <w:rPr>
          <w:rFonts w:ascii="Arial" w:eastAsia="Calibri" w:hAnsi="Arial" w:cs="Arial"/>
          <w:b/>
          <w:sz w:val="32"/>
          <w:szCs w:val="32"/>
        </w:rPr>
        <w:t>A</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27919320"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4pt;height:65.55pt" o:ole="">
                  <v:imagedata r:id="rId8" o:title=""/>
                </v:shape>
                <o:OLEObject Type="Embed" ProgID="CorelDRAW.Graphic.9" ShapeID="_x0000_i1025" DrawAspect="Content" ObjectID="_1801916074"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27078B1D" w:rsidR="00727CDC" w:rsidRPr="00435883" w:rsidRDefault="00267D04" w:rsidP="00724C8B">
            <w:pPr>
              <w:jc w:val="both"/>
              <w:rPr>
                <w:rFonts w:ascii="Arial" w:hAnsi="Arial" w:cs="Arial"/>
                <w:sz w:val="24"/>
                <w:szCs w:val="24"/>
              </w:rPr>
            </w:pPr>
            <w:r w:rsidRPr="00F9417F">
              <w:rPr>
                <w:rFonts w:ascii="Arial" w:hAnsi="Arial" w:cs="Arial"/>
                <w:b/>
                <w:bCs/>
                <w:sz w:val="24"/>
                <w:szCs w:val="24"/>
              </w:rPr>
              <w:t>JAVNO PREDUZEĆE ZA UPRAVLJANJE MORSKIM DOBROM CRNE GORE - BUDVA</w:t>
            </w:r>
            <w:r w:rsidRPr="00F9417F">
              <w:rPr>
                <w:rFonts w:ascii="Arial" w:hAnsi="Arial" w:cs="Arial"/>
                <w:sz w:val="24"/>
                <w:szCs w:val="24"/>
              </w:rPr>
              <w:t xml:space="preserve"> </w:t>
            </w:r>
            <w:r w:rsidR="00A43AD3" w:rsidRPr="00F9417F">
              <w:rPr>
                <w:rFonts w:ascii="Arial" w:hAnsi="Arial" w:cs="Arial"/>
                <w:sz w:val="24"/>
                <w:szCs w:val="24"/>
              </w:rPr>
              <w:t>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w:t>
            </w:r>
            <w:r w:rsidR="002830CA" w:rsidRPr="00F9417F">
              <w:rPr>
                <w:rFonts w:ascii="Arial" w:hAnsi="Arial" w:cs="Arial"/>
                <w:sz w:val="24"/>
                <w:szCs w:val="24"/>
              </w:rPr>
              <w:t xml:space="preserve">36 </w:t>
            </w:r>
            <w:r w:rsidR="00A43AD3" w:rsidRPr="00F9417F">
              <w:rPr>
                <w:rFonts w:ascii="Arial" w:hAnsi="Arial" w:cs="Arial"/>
                <w:sz w:val="24"/>
                <w:szCs w:val="24"/>
              </w:rPr>
              <w:t xml:space="preserve">od </w:t>
            </w:r>
            <w:r w:rsidR="002830CA" w:rsidRPr="00F9417F">
              <w:rPr>
                <w:rFonts w:ascii="Arial" w:hAnsi="Arial" w:cs="Arial"/>
                <w:sz w:val="24"/>
                <w:szCs w:val="24"/>
              </w:rPr>
              <w:t>12</w:t>
            </w:r>
            <w:r w:rsidR="00A43AD3" w:rsidRPr="00F9417F">
              <w:rPr>
                <w:rFonts w:ascii="Arial" w:hAnsi="Arial" w:cs="Arial"/>
                <w:sz w:val="24"/>
                <w:szCs w:val="24"/>
              </w:rPr>
              <w:t>.02.2025.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373C5E74" w:rsidR="00727CDC" w:rsidRPr="007B3552" w:rsidRDefault="00D5511F" w:rsidP="00872BCA">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postavljanje privremen</w:t>
            </w:r>
            <w:r w:rsidR="00435883">
              <w:rPr>
                <w:rFonts w:ascii="Arial" w:hAnsi="Arial" w:cs="Arial"/>
                <w:sz w:val="24"/>
                <w:szCs w:val="24"/>
              </w:rPr>
              <w:t>og</w:t>
            </w:r>
            <w:r w:rsidR="00A36C48">
              <w:rPr>
                <w:rFonts w:ascii="Arial" w:hAnsi="Arial" w:cs="Arial"/>
                <w:sz w:val="24"/>
                <w:szCs w:val="24"/>
              </w:rPr>
              <w:t xml:space="preserve"> montažn</w:t>
            </w:r>
            <w:r w:rsidR="00435883">
              <w:rPr>
                <w:rFonts w:ascii="Arial" w:hAnsi="Arial" w:cs="Arial"/>
                <w:sz w:val="24"/>
                <w:szCs w:val="24"/>
              </w:rPr>
              <w:t>og</w:t>
            </w:r>
            <w:r w:rsidR="00EF553A">
              <w:rPr>
                <w:rFonts w:ascii="Arial" w:hAnsi="Arial" w:cs="Arial"/>
                <w:sz w:val="24"/>
                <w:szCs w:val="24"/>
              </w:rPr>
              <w:t xml:space="preserve"> objekata</w:t>
            </w:r>
            <w:r w:rsidR="00435883">
              <w:rPr>
                <w:rFonts w:ascii="Arial" w:hAnsi="Arial" w:cs="Arial"/>
                <w:sz w:val="24"/>
                <w:szCs w:val="24"/>
              </w:rPr>
              <w:t xml:space="preserve"> </w:t>
            </w:r>
            <w:r w:rsidR="00385FBA" w:rsidRPr="00DA4B45">
              <w:rPr>
                <w:rFonts w:ascii="Arial" w:hAnsi="Arial" w:cs="Arial"/>
                <w:b/>
                <w:sz w:val="24"/>
                <w:szCs w:val="24"/>
              </w:rPr>
              <w:t>otvoreni šank</w:t>
            </w:r>
            <w:r w:rsidR="00435883" w:rsidRPr="00DA4B45">
              <w:rPr>
                <w:rFonts w:ascii="Arial" w:hAnsi="Arial" w:cs="Arial"/>
                <w:b/>
                <w:sz w:val="24"/>
                <w:szCs w:val="24"/>
              </w:rPr>
              <w:t xml:space="preserve"> sa terasom</w:t>
            </w:r>
            <w:r w:rsidR="001000B1" w:rsidRPr="00DA4B45">
              <w:rPr>
                <w:rFonts w:ascii="Arial" w:hAnsi="Arial" w:cs="Arial"/>
                <w:b/>
                <w:sz w:val="24"/>
                <w:szCs w:val="24"/>
              </w:rPr>
              <w:t xml:space="preserve"> </w:t>
            </w:r>
            <w:r w:rsidR="00F9150D" w:rsidRPr="00DA4B45">
              <w:rPr>
                <w:rFonts w:ascii="Arial" w:hAnsi="Arial" w:cs="Arial"/>
                <w:b/>
                <w:sz w:val="24"/>
                <w:szCs w:val="24"/>
              </w:rPr>
              <w:t>-</w:t>
            </w:r>
            <w:r w:rsidR="00EF553A" w:rsidRPr="00DA4B45">
              <w:rPr>
                <w:rFonts w:ascii="Arial" w:hAnsi="Arial" w:cs="Arial"/>
                <w:b/>
                <w:sz w:val="24"/>
                <w:szCs w:val="24"/>
              </w:rPr>
              <w:t>lokacij</w:t>
            </w:r>
            <w:r w:rsidR="00F9150D" w:rsidRPr="00DA4B45">
              <w:rPr>
                <w:rFonts w:ascii="Arial" w:hAnsi="Arial" w:cs="Arial"/>
                <w:b/>
                <w:sz w:val="24"/>
                <w:szCs w:val="24"/>
              </w:rPr>
              <w:t>a</w:t>
            </w:r>
            <w:r w:rsidR="006E5718" w:rsidRPr="00DA4B45">
              <w:rPr>
                <w:rFonts w:ascii="Arial" w:hAnsi="Arial" w:cs="Arial"/>
                <w:b/>
                <w:sz w:val="24"/>
                <w:szCs w:val="24"/>
              </w:rPr>
              <w:t xml:space="preserve"> </w:t>
            </w:r>
            <w:r w:rsidR="00877971" w:rsidRPr="00DA4B45">
              <w:rPr>
                <w:rFonts w:ascii="Arial" w:hAnsi="Arial" w:cs="Arial"/>
                <w:b/>
                <w:sz w:val="24"/>
                <w:szCs w:val="24"/>
              </w:rPr>
              <w:t xml:space="preserve">na kupalištu označenom </w:t>
            </w:r>
            <w:r w:rsidR="006E5718" w:rsidRPr="00DA4B45">
              <w:rPr>
                <w:rFonts w:ascii="Arial" w:hAnsi="Arial" w:cs="Arial"/>
                <w:b/>
                <w:sz w:val="24"/>
                <w:szCs w:val="24"/>
              </w:rPr>
              <w:t>br</w:t>
            </w:r>
            <w:r w:rsidR="00EA6C79" w:rsidRPr="00DA4B45">
              <w:rPr>
                <w:rFonts w:ascii="Arial" w:hAnsi="Arial" w:cs="Arial"/>
                <w:b/>
                <w:sz w:val="24"/>
                <w:szCs w:val="24"/>
              </w:rPr>
              <w:t>oj</w:t>
            </w:r>
            <w:r w:rsidR="0085045C" w:rsidRPr="00DA4B45">
              <w:rPr>
                <w:rFonts w:ascii="Arial" w:hAnsi="Arial" w:cs="Arial"/>
                <w:b/>
                <w:sz w:val="24"/>
                <w:szCs w:val="24"/>
              </w:rPr>
              <w:t xml:space="preserve"> </w:t>
            </w:r>
            <w:r w:rsidR="00872BCA" w:rsidRPr="00DA4B45">
              <w:rPr>
                <w:rFonts w:ascii="Arial" w:hAnsi="Arial" w:cs="Arial"/>
                <w:b/>
                <w:sz w:val="24"/>
                <w:szCs w:val="24"/>
              </w:rPr>
              <w:t xml:space="preserve">9J </w:t>
            </w:r>
            <w:r w:rsidR="00877971" w:rsidRPr="00DA4B45">
              <w:rPr>
                <w:rFonts w:ascii="Arial" w:hAnsi="Arial" w:cs="Arial"/>
                <w:b/>
                <w:sz w:val="24"/>
                <w:szCs w:val="24"/>
              </w:rPr>
              <w:t xml:space="preserve">u opštini </w:t>
            </w:r>
            <w:r w:rsidR="00385FBA" w:rsidRPr="00DA4B45">
              <w:rPr>
                <w:rFonts w:ascii="Arial" w:hAnsi="Arial" w:cs="Arial"/>
                <w:b/>
                <w:sz w:val="24"/>
                <w:szCs w:val="24"/>
              </w:rPr>
              <w:t>Kotor</w:t>
            </w:r>
            <w:r w:rsidR="00877971">
              <w:rPr>
                <w:rFonts w:ascii="Arial" w:hAnsi="Arial" w:cs="Arial"/>
                <w:sz w:val="24"/>
                <w:szCs w:val="24"/>
              </w:rPr>
              <w:t xml:space="preserve"> </w:t>
            </w:r>
            <w:r w:rsidR="00F9150D">
              <w:rPr>
                <w:rFonts w:ascii="Arial" w:hAnsi="Arial" w:cs="Arial"/>
                <w:sz w:val="24"/>
                <w:szCs w:val="24"/>
              </w:rPr>
              <w:t xml:space="preserve">predviđena </w:t>
            </w:r>
            <w:r w:rsidR="0045461E">
              <w:rPr>
                <w:rFonts w:ascii="Arial" w:hAnsi="Arial" w:cs="Arial"/>
                <w:sz w:val="24"/>
                <w:szCs w:val="24"/>
              </w:rPr>
              <w:t>Izmjenama i dopunam</w:t>
            </w:r>
            <w:r w:rsidR="00872BCA">
              <w:rPr>
                <w:rFonts w:ascii="Arial" w:hAnsi="Arial" w:cs="Arial"/>
                <w:sz w:val="24"/>
                <w:szCs w:val="24"/>
              </w:rPr>
              <w:t>a</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385FBA" w:rsidRPr="00385FBA">
              <w:rPr>
                <w:rFonts w:ascii="Arial" w:hAnsi="Arial" w:cs="Arial"/>
                <w:sz w:val="24"/>
                <w:szCs w:val="24"/>
              </w:rPr>
              <w:t>Kotor</w:t>
            </w:r>
            <w:r w:rsidR="00385FBA">
              <w:rPr>
                <w:rFonts w:ascii="Arial" w:hAnsi="Arial" w:cs="Arial"/>
                <w:strike/>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D599D39" w:rsidR="00727CDC" w:rsidRPr="005F23BF" w:rsidRDefault="00727CDC" w:rsidP="00385FBA">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7844F34" w14:textId="51CE6C89" w:rsidR="008357A8" w:rsidRPr="00DA4B45" w:rsidRDefault="000831F6" w:rsidP="008357A8">
            <w:pPr>
              <w:autoSpaceDN w:val="0"/>
              <w:adjustRightInd w:val="0"/>
              <w:jc w:val="both"/>
              <w:textAlignment w:val="baseline"/>
              <w:rPr>
                <w:rFonts w:ascii="Arial" w:hAnsi="Arial" w:cs="Arial"/>
                <w:b/>
                <w:sz w:val="24"/>
                <w:szCs w:val="24"/>
              </w:rPr>
            </w:pPr>
            <w:r>
              <w:rPr>
                <w:rFonts w:ascii="Arial" w:hAnsi="Arial" w:cs="Arial"/>
                <w:sz w:val="24"/>
                <w:szCs w:val="24"/>
              </w:rPr>
              <w:t>-</w:t>
            </w:r>
            <w:r w:rsidR="008357A8" w:rsidRPr="008357A8">
              <w:rPr>
                <w:rFonts w:ascii="Arial" w:hAnsi="Arial" w:cs="Arial"/>
                <w:sz w:val="24"/>
                <w:szCs w:val="24"/>
              </w:rPr>
              <w:t xml:space="preserve">U sklopu uređenog </w:t>
            </w:r>
            <w:r w:rsidR="008357A8" w:rsidRPr="00E76180">
              <w:rPr>
                <w:rFonts w:ascii="Arial" w:hAnsi="Arial" w:cs="Arial"/>
                <w:sz w:val="24"/>
                <w:szCs w:val="24"/>
              </w:rPr>
              <w:t xml:space="preserve">kupališta </w:t>
            </w:r>
            <w:r w:rsidR="00872BCA" w:rsidRPr="00A43AD3">
              <w:rPr>
                <w:rFonts w:ascii="Arial" w:hAnsi="Arial" w:cs="Arial"/>
                <w:b/>
                <w:bCs/>
                <w:sz w:val="24"/>
                <w:szCs w:val="24"/>
              </w:rPr>
              <w:t>9J</w:t>
            </w:r>
            <w:r w:rsidR="008357A8" w:rsidRPr="00E76180">
              <w:rPr>
                <w:rFonts w:ascii="Arial" w:hAnsi="Arial" w:cs="Arial"/>
                <w:sz w:val="24"/>
                <w:szCs w:val="24"/>
              </w:rPr>
              <w:t xml:space="preserve"> moguće je formirati ot</w:t>
            </w:r>
            <w:r w:rsidR="00E76180" w:rsidRPr="00E76180">
              <w:rPr>
                <w:rFonts w:ascii="Arial" w:hAnsi="Arial" w:cs="Arial"/>
                <w:sz w:val="24"/>
                <w:szCs w:val="24"/>
              </w:rPr>
              <w:t>voreni šank</w:t>
            </w:r>
            <w:r w:rsidR="008357A8" w:rsidRPr="00E76180">
              <w:rPr>
                <w:rFonts w:ascii="Arial" w:hAnsi="Arial" w:cs="Arial"/>
                <w:sz w:val="24"/>
                <w:szCs w:val="24"/>
              </w:rPr>
              <w:t xml:space="preserve">. </w:t>
            </w:r>
            <w:r w:rsidR="008357A8" w:rsidRPr="00DA4B45">
              <w:rPr>
                <w:rFonts w:ascii="Arial" w:hAnsi="Arial" w:cs="Arial"/>
                <w:b/>
                <w:sz w:val="24"/>
                <w:szCs w:val="24"/>
              </w:rPr>
              <w:t>Ot</w:t>
            </w:r>
            <w:r w:rsidR="00E76180" w:rsidRPr="00DA4B45">
              <w:rPr>
                <w:rFonts w:ascii="Arial" w:hAnsi="Arial" w:cs="Arial"/>
                <w:b/>
                <w:sz w:val="24"/>
                <w:szCs w:val="24"/>
              </w:rPr>
              <w:t xml:space="preserve">voreni šank </w:t>
            </w:r>
            <w:r w:rsidR="008357A8" w:rsidRPr="00DA4B45">
              <w:rPr>
                <w:rFonts w:ascii="Arial" w:hAnsi="Arial" w:cs="Arial"/>
                <w:b/>
                <w:sz w:val="24"/>
                <w:szCs w:val="24"/>
              </w:rPr>
              <w:t xml:space="preserve">moguće je postaviti maksimalne bruto površine od </w:t>
            </w:r>
            <w:r w:rsidR="00872BCA" w:rsidRPr="00DA4B45">
              <w:rPr>
                <w:rFonts w:ascii="Arial" w:hAnsi="Arial" w:cs="Arial"/>
                <w:b/>
                <w:sz w:val="24"/>
                <w:szCs w:val="24"/>
              </w:rPr>
              <w:t>3</w:t>
            </w:r>
            <w:r w:rsidR="00E76180" w:rsidRPr="00DA4B45">
              <w:rPr>
                <w:rFonts w:ascii="Arial" w:hAnsi="Arial" w:cs="Arial"/>
                <w:b/>
                <w:sz w:val="24"/>
                <w:szCs w:val="24"/>
              </w:rPr>
              <w:t>5</w:t>
            </w:r>
            <w:r w:rsidR="008357A8" w:rsidRPr="00DA4B45">
              <w:rPr>
                <w:rFonts w:ascii="Arial" w:hAnsi="Arial" w:cs="Arial"/>
                <w:b/>
                <w:sz w:val="24"/>
                <w:szCs w:val="24"/>
              </w:rPr>
              <w:t xml:space="preserve"> m</w:t>
            </w:r>
            <w:r w:rsidR="00872BCA" w:rsidRPr="00DA4B45">
              <w:rPr>
                <w:rFonts w:ascii="Arial" w:hAnsi="Arial" w:cs="Arial"/>
                <w:b/>
                <w:sz w:val="24"/>
                <w:szCs w:val="24"/>
                <w:vertAlign w:val="superscript"/>
              </w:rPr>
              <w:t>2</w:t>
            </w:r>
            <w:r w:rsidR="00872BCA" w:rsidRPr="00DA4B45">
              <w:rPr>
                <w:rFonts w:ascii="Arial" w:hAnsi="Arial" w:cs="Arial"/>
                <w:b/>
                <w:sz w:val="24"/>
                <w:szCs w:val="24"/>
              </w:rPr>
              <w:t>.</w:t>
            </w:r>
            <w:r w:rsidR="008357A8" w:rsidRPr="00DA4B45">
              <w:rPr>
                <w:rFonts w:ascii="Arial" w:hAnsi="Arial" w:cs="Arial"/>
                <w:b/>
                <w:sz w:val="24"/>
                <w:szCs w:val="24"/>
              </w:rPr>
              <w:t xml:space="preserve"> </w:t>
            </w:r>
          </w:p>
          <w:p w14:paraId="17844F35" w14:textId="6E116DCD" w:rsidR="000831F6" w:rsidRPr="00872BCA" w:rsidRDefault="008357A8" w:rsidP="000831F6">
            <w:pPr>
              <w:autoSpaceDN w:val="0"/>
              <w:adjustRightInd w:val="0"/>
              <w:jc w:val="both"/>
              <w:textAlignment w:val="baseline"/>
              <w:rPr>
                <w:rFonts w:ascii="Arial" w:hAnsi="Arial" w:cs="Arial"/>
                <w:sz w:val="24"/>
                <w:szCs w:val="24"/>
              </w:rPr>
            </w:pPr>
            <w:r w:rsidRPr="00E76180">
              <w:rPr>
                <w:rFonts w:ascii="Arial" w:hAnsi="Arial" w:cs="Arial"/>
                <w:sz w:val="24"/>
                <w:szCs w:val="24"/>
              </w:rPr>
              <w:t xml:space="preserve"> </w:t>
            </w:r>
            <w:r w:rsidR="000831F6" w:rsidRPr="00E76180">
              <w:rPr>
                <w:rFonts w:ascii="Arial" w:hAnsi="Arial" w:cs="Arial"/>
                <w:sz w:val="24"/>
                <w:szCs w:val="24"/>
              </w:rPr>
              <w:t>-</w:t>
            </w:r>
            <w:r w:rsidR="000831F6" w:rsidRPr="00DA4B45">
              <w:rPr>
                <w:rFonts w:ascii="Arial" w:hAnsi="Arial" w:cs="Arial"/>
                <w:b/>
                <w:sz w:val="24"/>
                <w:szCs w:val="24"/>
              </w:rPr>
              <w:t>Površina ugostiteljske terase uz otvoreni šank</w:t>
            </w:r>
            <w:r w:rsidR="000831F6" w:rsidRPr="00E76180">
              <w:rPr>
                <w:rFonts w:ascii="Arial" w:hAnsi="Arial" w:cs="Arial"/>
                <w:sz w:val="24"/>
                <w:szCs w:val="24"/>
              </w:rPr>
              <w:t xml:space="preserve"> </w:t>
            </w:r>
            <w:r w:rsidR="002830CA">
              <w:rPr>
                <w:rFonts w:ascii="Arial" w:hAnsi="Arial" w:cs="Arial"/>
                <w:sz w:val="24"/>
                <w:szCs w:val="24"/>
              </w:rPr>
              <w:t>n</w:t>
            </w:r>
            <w:r w:rsidR="000831F6" w:rsidRPr="00E76180">
              <w:rPr>
                <w:rFonts w:ascii="Arial" w:hAnsi="Arial" w:cs="Arial"/>
                <w:sz w:val="24"/>
                <w:szCs w:val="24"/>
              </w:rPr>
              <w:t>a kupališt</w:t>
            </w:r>
            <w:r w:rsidR="002830CA">
              <w:rPr>
                <w:rFonts w:ascii="Arial" w:hAnsi="Arial" w:cs="Arial"/>
                <w:sz w:val="24"/>
                <w:szCs w:val="24"/>
              </w:rPr>
              <w:t>u</w:t>
            </w:r>
            <w:r w:rsidR="000831F6" w:rsidRPr="00E76180">
              <w:rPr>
                <w:rFonts w:ascii="Arial" w:hAnsi="Arial" w:cs="Arial"/>
                <w:sz w:val="24"/>
                <w:szCs w:val="24"/>
              </w:rPr>
              <w:t xml:space="preserve"> </w:t>
            </w:r>
            <w:r w:rsidR="00872BCA" w:rsidRPr="002830CA">
              <w:rPr>
                <w:rFonts w:ascii="Arial" w:hAnsi="Arial" w:cs="Arial"/>
                <w:b/>
                <w:sz w:val="24"/>
                <w:szCs w:val="24"/>
              </w:rPr>
              <w:t>9J</w:t>
            </w:r>
            <w:r w:rsidR="000831F6" w:rsidRPr="00E76180">
              <w:rPr>
                <w:rFonts w:ascii="Arial" w:hAnsi="Arial" w:cs="Arial"/>
                <w:sz w:val="24"/>
                <w:szCs w:val="24"/>
              </w:rPr>
              <w:t xml:space="preserve"> iznosi </w:t>
            </w:r>
            <w:r w:rsidR="000831F6" w:rsidRPr="00DA4B45">
              <w:rPr>
                <w:rFonts w:ascii="Arial" w:hAnsi="Arial" w:cs="Arial"/>
                <w:b/>
                <w:sz w:val="24"/>
                <w:szCs w:val="24"/>
              </w:rPr>
              <w:t xml:space="preserve">maksimalno </w:t>
            </w:r>
            <w:r w:rsidR="00872BCA" w:rsidRPr="00DA4B45">
              <w:rPr>
                <w:rFonts w:ascii="Arial" w:hAnsi="Arial" w:cs="Arial"/>
                <w:b/>
                <w:sz w:val="24"/>
                <w:szCs w:val="24"/>
              </w:rPr>
              <w:t>110</w:t>
            </w:r>
            <w:r w:rsidR="000831F6" w:rsidRPr="00DA4B45">
              <w:rPr>
                <w:rFonts w:ascii="Arial" w:hAnsi="Arial" w:cs="Arial"/>
                <w:b/>
                <w:sz w:val="24"/>
                <w:szCs w:val="24"/>
              </w:rPr>
              <w:t xml:space="preserve"> m</w:t>
            </w:r>
            <w:r w:rsidR="000831F6" w:rsidRPr="00DA4B45">
              <w:rPr>
                <w:rFonts w:ascii="Arial" w:hAnsi="Arial" w:cs="Arial"/>
                <w:b/>
                <w:sz w:val="24"/>
                <w:szCs w:val="24"/>
                <w:vertAlign w:val="superscript"/>
              </w:rPr>
              <w:t>2</w:t>
            </w:r>
            <w:r w:rsidR="00872BCA">
              <w:rPr>
                <w:rFonts w:ascii="Arial" w:hAnsi="Arial" w:cs="Arial"/>
                <w:sz w:val="24"/>
                <w:szCs w:val="24"/>
              </w:rPr>
              <w:t>.</w:t>
            </w:r>
          </w:p>
          <w:p w14:paraId="17844F36" w14:textId="77777777" w:rsidR="008357A8" w:rsidRPr="00E76180" w:rsidRDefault="008357A8" w:rsidP="008357A8">
            <w:pPr>
              <w:autoSpaceDN w:val="0"/>
              <w:adjustRightInd w:val="0"/>
              <w:jc w:val="both"/>
              <w:textAlignment w:val="baseline"/>
              <w:rPr>
                <w:rFonts w:ascii="Arial" w:hAnsi="Arial" w:cs="Arial"/>
                <w:sz w:val="24"/>
                <w:szCs w:val="24"/>
              </w:rPr>
            </w:pPr>
          </w:p>
          <w:p w14:paraId="17844F37" w14:textId="387F357B" w:rsidR="008357A8" w:rsidRPr="00E76180" w:rsidRDefault="002C21AA" w:rsidP="008357A8">
            <w:pPr>
              <w:autoSpaceDN w:val="0"/>
              <w:adjustRightInd w:val="0"/>
              <w:jc w:val="both"/>
              <w:textAlignment w:val="baseline"/>
              <w:rPr>
                <w:rFonts w:ascii="Arial" w:hAnsi="Arial" w:cs="Arial"/>
                <w:sz w:val="24"/>
                <w:szCs w:val="24"/>
              </w:rPr>
            </w:pPr>
            <w:r w:rsidRPr="00E76180">
              <w:rPr>
                <w:rFonts w:ascii="Arial" w:hAnsi="Arial" w:cs="Arial"/>
                <w:sz w:val="24"/>
                <w:szCs w:val="24"/>
              </w:rPr>
              <w:lastRenderedPageBreak/>
              <w:t>-</w:t>
            </w:r>
            <w:r w:rsidR="008357A8" w:rsidRPr="00E76180">
              <w:rPr>
                <w:rFonts w:ascii="Arial" w:hAnsi="Arial" w:cs="Arial"/>
                <w:sz w:val="24"/>
                <w:szCs w:val="24"/>
              </w:rPr>
              <w:t>Otvoreni šank, izrađuje se od montažnih elemenata, a svojim izgledom je uklopljen u ambijent lokacije.</w:t>
            </w:r>
          </w:p>
          <w:p w14:paraId="17844F38" w14:textId="77777777" w:rsidR="000831F6" w:rsidRPr="00E76180" w:rsidRDefault="000831F6" w:rsidP="008357A8">
            <w:pPr>
              <w:autoSpaceDN w:val="0"/>
              <w:adjustRightInd w:val="0"/>
              <w:jc w:val="both"/>
              <w:textAlignment w:val="baseline"/>
              <w:rPr>
                <w:rFonts w:ascii="Arial" w:hAnsi="Arial" w:cs="Arial"/>
                <w:sz w:val="24"/>
                <w:szCs w:val="24"/>
              </w:rPr>
            </w:pPr>
          </w:p>
          <w:p w14:paraId="17844F39" w14:textId="1BD265EA" w:rsidR="000831F6" w:rsidRDefault="000831F6" w:rsidP="000831F6">
            <w:pPr>
              <w:autoSpaceDN w:val="0"/>
              <w:adjustRightInd w:val="0"/>
              <w:jc w:val="both"/>
              <w:textAlignment w:val="baseline"/>
              <w:rPr>
                <w:rFonts w:ascii="Arial" w:hAnsi="Arial" w:cs="Arial"/>
                <w:sz w:val="24"/>
                <w:szCs w:val="24"/>
              </w:rPr>
            </w:pPr>
            <w:r w:rsidRPr="00E76180">
              <w:rPr>
                <w:rFonts w:ascii="Arial" w:hAnsi="Arial" w:cs="Arial"/>
                <w:sz w:val="24"/>
                <w:szCs w:val="24"/>
              </w:rPr>
              <w:t>-Pri određivanju lokacije otvorenog šanka</w:t>
            </w:r>
            <w:r w:rsidR="00E76180">
              <w:rPr>
                <w:rFonts w:ascii="Arial" w:hAnsi="Arial" w:cs="Arial"/>
                <w:sz w:val="24"/>
                <w:szCs w:val="24"/>
              </w:rPr>
              <w:t xml:space="preserve"> </w:t>
            </w:r>
            <w:r w:rsidRPr="002046B0">
              <w:rPr>
                <w:rFonts w:ascii="Arial" w:hAnsi="Arial" w:cs="Arial"/>
                <w:sz w:val="24"/>
                <w:szCs w:val="24"/>
              </w:rPr>
              <w:t>treba voditi računa o očuvanju vizura na more okolnih stalnih objekata, ugostiteljskih i rezidencijalnih. U slučaju da privremeni objekat nije moguće postaviti bez ugrožavanja pogleda na more stalnog objekta u zaleđu, neophodno je dobiti pisanu saglasnost vlasnika stalnog objekta.</w:t>
            </w:r>
          </w:p>
          <w:p w14:paraId="17844F3A" w14:textId="77777777" w:rsidR="000831F6" w:rsidRPr="00265AD8" w:rsidRDefault="000831F6" w:rsidP="000831F6">
            <w:pPr>
              <w:autoSpaceDN w:val="0"/>
              <w:adjustRightInd w:val="0"/>
              <w:jc w:val="both"/>
              <w:textAlignment w:val="baseline"/>
              <w:rPr>
                <w:rFonts w:ascii="Arial" w:hAnsi="Arial" w:cs="Arial"/>
                <w:sz w:val="24"/>
                <w:szCs w:val="24"/>
                <w:u w:val="single"/>
              </w:rPr>
            </w:pPr>
          </w:p>
          <w:p w14:paraId="17844F3B" w14:textId="19AA4F5A" w:rsidR="000831F6" w:rsidRDefault="000831F6" w:rsidP="000831F6">
            <w:pPr>
              <w:overflowPunct w:val="0"/>
              <w:autoSpaceDE w:val="0"/>
              <w:autoSpaceDN w:val="0"/>
              <w:adjustRightInd w:val="0"/>
              <w:jc w:val="both"/>
              <w:textAlignment w:val="baseline"/>
              <w:rPr>
                <w:rFonts w:ascii="Arial" w:hAnsi="Arial" w:cs="Arial"/>
                <w:sz w:val="24"/>
                <w:szCs w:val="24"/>
              </w:rPr>
            </w:pPr>
            <w:r w:rsidRPr="00265AD8">
              <w:rPr>
                <w:rFonts w:ascii="Arial" w:hAnsi="Arial" w:cs="Arial"/>
                <w:sz w:val="24"/>
                <w:szCs w:val="24"/>
              </w:rPr>
              <w:t>-Površina na kojoj se postavlja otvoreni šank, uključujući i prostor za ugostiteljsku terasu ne može se fizički mijenjati odnosno betonirati, odnosno postavlja se isključivo na postojeću</w:t>
            </w:r>
            <w:r w:rsidR="00EA6C79">
              <w:rPr>
                <w:rFonts w:ascii="Arial" w:hAnsi="Arial" w:cs="Arial"/>
                <w:sz w:val="24"/>
                <w:szCs w:val="24"/>
              </w:rPr>
              <w:t>,</w:t>
            </w:r>
            <w:r w:rsidRPr="00265AD8">
              <w:rPr>
                <w:rFonts w:ascii="Arial" w:hAnsi="Arial" w:cs="Arial"/>
                <w:sz w:val="24"/>
                <w:szCs w:val="24"/>
              </w:rPr>
              <w:t xml:space="preserve"> odnosno daščanu podlogu, maksimalne visine 10 cm u odnosu na kotu terena.</w:t>
            </w:r>
          </w:p>
          <w:p w14:paraId="17844F3C" w14:textId="77777777" w:rsidR="000831F6" w:rsidRPr="00265AD8" w:rsidRDefault="000831F6" w:rsidP="000831F6">
            <w:pPr>
              <w:overflowPunct w:val="0"/>
              <w:autoSpaceDE w:val="0"/>
              <w:autoSpaceDN w:val="0"/>
              <w:adjustRightInd w:val="0"/>
              <w:jc w:val="both"/>
              <w:textAlignment w:val="baseline"/>
              <w:rPr>
                <w:rFonts w:ascii="Arial" w:hAnsi="Arial" w:cs="Arial"/>
                <w:sz w:val="24"/>
                <w:szCs w:val="24"/>
              </w:rPr>
            </w:pPr>
          </w:p>
          <w:p w14:paraId="17844F3D" w14:textId="77777777" w:rsidR="000831F6" w:rsidRPr="008357A8" w:rsidRDefault="000831F6" w:rsidP="005C0561">
            <w:pPr>
              <w:overflowPunct w:val="0"/>
              <w:autoSpaceDE w:val="0"/>
              <w:autoSpaceDN w:val="0"/>
              <w:adjustRightInd w:val="0"/>
              <w:jc w:val="both"/>
              <w:textAlignment w:val="baseline"/>
              <w:rPr>
                <w:rFonts w:ascii="Arial" w:hAnsi="Arial" w:cs="Arial"/>
                <w:sz w:val="24"/>
                <w:szCs w:val="24"/>
              </w:rPr>
            </w:pPr>
            <w:r w:rsidRPr="00265AD8">
              <w:rPr>
                <w:rFonts w:ascii="Arial" w:hAnsi="Arial" w:cs="Arial"/>
                <w:sz w:val="24"/>
                <w:szCs w:val="24"/>
              </w:rPr>
              <w:t>-Način postavljanja ove vrste privremenih objekata je montiranje na licu mjesta od već napravljenih elemenata kontrukcije, elemenata krova, demontažnih elemenata vertikalnih pregrada (staklo, leksan, lim, tegola i drugo), demontažne podne platforme. Na isti način se vrši i demontaža.</w:t>
            </w:r>
          </w:p>
          <w:p w14:paraId="17844F3E" w14:textId="77777777" w:rsidR="008357A8" w:rsidRPr="008357A8" w:rsidRDefault="008357A8" w:rsidP="008357A8">
            <w:pPr>
              <w:pStyle w:val="ListParagraph"/>
              <w:autoSpaceDN w:val="0"/>
              <w:adjustRightInd w:val="0"/>
              <w:ind w:left="1146"/>
              <w:contextualSpacing w:val="0"/>
              <w:jc w:val="both"/>
              <w:textAlignment w:val="baseline"/>
              <w:rPr>
                <w:rFonts w:ascii="Arial" w:hAnsi="Arial" w:cs="Arial"/>
                <w:sz w:val="24"/>
                <w:szCs w:val="24"/>
              </w:rPr>
            </w:pPr>
            <w:r w:rsidRPr="008357A8">
              <w:rPr>
                <w:rFonts w:ascii="Arial" w:hAnsi="Arial" w:cs="Arial"/>
                <w:sz w:val="24"/>
                <w:szCs w:val="24"/>
              </w:rPr>
              <w:t>.</w:t>
            </w:r>
          </w:p>
          <w:p w14:paraId="17844F3F" w14:textId="77777777" w:rsidR="004D5F23" w:rsidRPr="004D5F23" w:rsidRDefault="005C0561" w:rsidP="004D5F23">
            <w:pPr>
              <w:autoSpaceDN w:val="0"/>
              <w:adjustRightInd w:val="0"/>
              <w:jc w:val="both"/>
              <w:textAlignment w:val="baseline"/>
              <w:rPr>
                <w:rFonts w:ascii="Arial" w:hAnsi="Arial" w:cs="Arial"/>
                <w:sz w:val="24"/>
                <w:szCs w:val="24"/>
              </w:rPr>
            </w:pPr>
            <w:r>
              <w:rPr>
                <w:rFonts w:ascii="Arial" w:hAnsi="Arial" w:cs="Arial"/>
                <w:sz w:val="24"/>
                <w:szCs w:val="24"/>
              </w:rPr>
              <w:t>-</w:t>
            </w:r>
            <w:r w:rsidR="008357A8" w:rsidRPr="008357A8">
              <w:rPr>
                <w:rFonts w:ascii="Arial" w:hAnsi="Arial" w:cs="Arial"/>
                <w:sz w:val="24"/>
                <w:szCs w:val="24"/>
              </w:rPr>
              <w:t xml:space="preserve">Uz otvoreni šank odnosno plažni bar može se postaviti otvorena ugostiteljska terasa, čije se vertikalne strane </w:t>
            </w:r>
            <w:r w:rsidR="008357A8" w:rsidRPr="008357A8">
              <w:rPr>
                <w:rFonts w:ascii="Arial" w:hAnsi="Arial" w:cs="Arial"/>
                <w:sz w:val="24"/>
                <w:szCs w:val="24"/>
                <w:u w:val="single"/>
              </w:rPr>
              <w:t>ne zatvaraju</w:t>
            </w:r>
            <w:r w:rsidR="007124D5">
              <w:rPr>
                <w:rFonts w:ascii="Arial" w:hAnsi="Arial" w:cs="Arial"/>
                <w:sz w:val="24"/>
                <w:szCs w:val="24"/>
              </w:rPr>
              <w:t>.</w:t>
            </w:r>
            <w:bookmarkStart w:id="0" w:name="_Hlk529632561"/>
            <w:bookmarkStart w:id="1" w:name="_Hlk529900759"/>
          </w:p>
          <w:bookmarkEnd w:id="0"/>
          <w:bookmarkEnd w:id="1"/>
          <w:p w14:paraId="17844F40" w14:textId="77777777" w:rsidR="007124D5" w:rsidRPr="008357A8" w:rsidRDefault="007124D5" w:rsidP="008357A8">
            <w:pPr>
              <w:autoSpaceDN w:val="0"/>
              <w:adjustRightInd w:val="0"/>
              <w:jc w:val="both"/>
              <w:textAlignment w:val="baseline"/>
              <w:rPr>
                <w:rFonts w:ascii="Tahoma" w:hAnsi="Tahoma" w:cs="Tahoma"/>
                <w:u w:val="single"/>
              </w:rPr>
            </w:pPr>
          </w:p>
          <w:p w14:paraId="17844F41" w14:textId="3DEA62C6" w:rsidR="008357A8" w:rsidRDefault="008357A8" w:rsidP="008357A8">
            <w:pPr>
              <w:autoSpaceDN w:val="0"/>
              <w:adjustRightInd w:val="0"/>
              <w:jc w:val="both"/>
              <w:textAlignment w:val="baseline"/>
              <w:rPr>
                <w:rFonts w:ascii="Arial" w:hAnsi="Arial" w:cs="Arial"/>
                <w:sz w:val="24"/>
                <w:szCs w:val="24"/>
              </w:rPr>
            </w:pPr>
            <w:r w:rsidRPr="00265AD8">
              <w:rPr>
                <w:rFonts w:ascii="Arial" w:hAnsi="Arial" w:cs="Arial"/>
                <w:sz w:val="24"/>
                <w:szCs w:val="24"/>
              </w:rPr>
              <w:t>-</w:t>
            </w:r>
            <w:r w:rsidR="002658C8">
              <w:t xml:space="preserve"> </w:t>
            </w:r>
            <w:r w:rsidR="002658C8" w:rsidRPr="002658C8">
              <w:rPr>
                <w:rFonts w:ascii="Arial" w:hAnsi="Arial" w:cs="Arial"/>
                <w:sz w:val="24"/>
                <w:szCs w:val="24"/>
              </w:rPr>
              <w:t xml:space="preserve">Ako ugostiteljsku terasu nije moguće postaviti u zaleđu plaže, ona se smješta </w:t>
            </w:r>
            <w:r w:rsidRPr="00265AD8">
              <w:rPr>
                <w:rFonts w:ascii="Arial" w:hAnsi="Arial" w:cs="Arial"/>
                <w:sz w:val="24"/>
                <w:szCs w:val="24"/>
              </w:rPr>
              <w:t>isključivo na dijelu kupališta predviđenog za smještanje ležaljki i na račun površine za smještanje ležaljki (slobodna površina bez ležaljki će biti jednaka zbiru površine pod ležaljkama i površ</w:t>
            </w:r>
            <w:r w:rsidR="0034272C">
              <w:rPr>
                <w:rFonts w:ascii="Arial" w:hAnsi="Arial" w:cs="Arial"/>
                <w:sz w:val="24"/>
                <w:szCs w:val="24"/>
              </w:rPr>
              <w:t>ine pod ugostiteljskom terasom).</w:t>
            </w:r>
          </w:p>
          <w:p w14:paraId="17844F42" w14:textId="77777777" w:rsidR="000831F6" w:rsidRDefault="000831F6" w:rsidP="008357A8">
            <w:pPr>
              <w:autoSpaceDN w:val="0"/>
              <w:adjustRightInd w:val="0"/>
              <w:jc w:val="both"/>
              <w:textAlignment w:val="baseline"/>
              <w:rPr>
                <w:rFonts w:ascii="Arial" w:hAnsi="Arial" w:cs="Arial"/>
                <w:sz w:val="24"/>
                <w:szCs w:val="24"/>
              </w:rPr>
            </w:pPr>
          </w:p>
          <w:p w14:paraId="17844F43" w14:textId="62D4EDAA" w:rsidR="007124D5" w:rsidRPr="00FC403B" w:rsidRDefault="007124D5" w:rsidP="007124D5">
            <w:pPr>
              <w:suppressAutoHyphens/>
              <w:jc w:val="both"/>
              <w:rPr>
                <w:rFonts w:ascii="Arial" w:hAnsi="Arial" w:cs="Arial"/>
                <w:sz w:val="24"/>
                <w:szCs w:val="24"/>
                <w:lang w:eastAsia="ar-SA"/>
              </w:rPr>
            </w:pPr>
            <w:r w:rsidRPr="00FC403B">
              <w:rPr>
                <w:rFonts w:ascii="Arial" w:hAnsi="Arial" w:cs="Arial"/>
                <w:sz w:val="24"/>
                <w:szCs w:val="24"/>
                <w:lang w:eastAsia="ar-SA"/>
              </w:rPr>
              <w:t>-Terasa se organizuje na postojećoj gotovoj podlozi, a u slučaju da postojeća podloga nije odgovarajuća, može se postaviti mont</w:t>
            </w:r>
            <w:r w:rsidR="00EA6C79">
              <w:rPr>
                <w:rFonts w:ascii="Arial" w:hAnsi="Arial" w:cs="Arial"/>
                <w:sz w:val="24"/>
                <w:szCs w:val="24"/>
                <w:lang w:eastAsia="ar-SA"/>
              </w:rPr>
              <w:t>ažno-demontažna podloga (deking</w:t>
            </w:r>
            <w:r w:rsidR="002658C8">
              <w:rPr>
                <w:rFonts w:ascii="Arial" w:hAnsi="Arial" w:cs="Arial"/>
                <w:sz w:val="24"/>
                <w:szCs w:val="24"/>
                <w:lang w:eastAsia="ar-SA"/>
              </w:rPr>
              <w:t xml:space="preserve"> ili slično</w:t>
            </w:r>
            <w:r w:rsidRPr="00FC403B">
              <w:rPr>
                <w:rFonts w:ascii="Arial" w:hAnsi="Arial" w:cs="Arial"/>
                <w:sz w:val="24"/>
                <w:szCs w:val="24"/>
                <w:lang w:eastAsia="ar-SA"/>
              </w:rPr>
              <w:t>).Podna platforma</w:t>
            </w:r>
            <w:r w:rsidR="0034272C">
              <w:rPr>
                <w:rFonts w:ascii="Arial" w:hAnsi="Arial" w:cs="Arial"/>
                <w:sz w:val="24"/>
                <w:szCs w:val="24"/>
                <w:lang w:eastAsia="ar-SA"/>
              </w:rPr>
              <w:t xml:space="preserve"> ne može biti visine veće od 10</w:t>
            </w:r>
            <w:r w:rsidRPr="00FC403B">
              <w:rPr>
                <w:rFonts w:ascii="Arial" w:hAnsi="Arial" w:cs="Arial"/>
                <w:sz w:val="24"/>
                <w:szCs w:val="24"/>
                <w:lang w:eastAsia="ar-SA"/>
              </w:rPr>
              <w:t>cm.</w:t>
            </w:r>
          </w:p>
          <w:p w14:paraId="17844F44" w14:textId="77777777" w:rsidR="007124D5" w:rsidRPr="00FC403B" w:rsidRDefault="007124D5" w:rsidP="007124D5">
            <w:pPr>
              <w:suppressAutoHyphens/>
              <w:jc w:val="both"/>
              <w:rPr>
                <w:rFonts w:ascii="Arial" w:hAnsi="Arial" w:cs="Arial"/>
                <w:sz w:val="24"/>
                <w:szCs w:val="24"/>
                <w:lang w:eastAsia="ar-SA"/>
              </w:rPr>
            </w:pPr>
          </w:p>
          <w:p w14:paraId="17844F45" w14:textId="08AFFB89" w:rsidR="007124D5" w:rsidRPr="00FC403B" w:rsidRDefault="007124D5" w:rsidP="007124D5">
            <w:pPr>
              <w:suppressAutoHyphens/>
              <w:jc w:val="both"/>
              <w:rPr>
                <w:rFonts w:ascii="Arial" w:hAnsi="Arial" w:cs="Arial"/>
                <w:sz w:val="24"/>
                <w:szCs w:val="24"/>
                <w:lang w:eastAsia="ar-SA"/>
              </w:rPr>
            </w:pPr>
            <w:r w:rsidRPr="00FC403B">
              <w:rPr>
                <w:rFonts w:ascii="Arial" w:hAnsi="Arial" w:cs="Arial"/>
                <w:sz w:val="24"/>
                <w:szCs w:val="24"/>
                <w:lang w:eastAsia="ar-SA"/>
              </w:rPr>
              <w:t xml:space="preserve">-Betoniranje podloge za postavljanje ugostiteljskih terasa </w:t>
            </w:r>
            <w:r w:rsidR="002658C8" w:rsidRPr="002658C8">
              <w:rPr>
                <w:rFonts w:ascii="Arial" w:hAnsi="Arial" w:cs="Arial"/>
                <w:sz w:val="24"/>
                <w:szCs w:val="24"/>
                <w:lang w:eastAsia="ar-SA"/>
              </w:rPr>
              <w:t xml:space="preserve">kod planiranih novih objekata </w:t>
            </w:r>
            <w:r w:rsidRPr="00FC403B">
              <w:rPr>
                <w:rFonts w:ascii="Arial" w:hAnsi="Arial" w:cs="Arial"/>
                <w:sz w:val="24"/>
                <w:szCs w:val="24"/>
                <w:lang w:eastAsia="ar-SA"/>
              </w:rPr>
              <w:t xml:space="preserve">nije dozvoljeno na pješčanim djelovima plaža, u granicama zaštićenih prirodnih dobara, u granicama nepokretnog  kulturnog dobra i njegove zaštićene okoline, kao i u granicama </w:t>
            </w:r>
            <w:r w:rsidRPr="00FC403B">
              <w:rPr>
                <w:rFonts w:ascii="Arial" w:hAnsi="Arial" w:cs="Arial"/>
                <w:sz w:val="24"/>
                <w:szCs w:val="24"/>
              </w:rPr>
              <w:t>prirodnog i kulturno-istorijskog područja Kotora.</w:t>
            </w:r>
          </w:p>
          <w:p w14:paraId="17844F46" w14:textId="77777777" w:rsidR="007124D5" w:rsidRPr="00FC403B" w:rsidRDefault="007124D5" w:rsidP="007124D5">
            <w:pPr>
              <w:pStyle w:val="ListParagraph"/>
              <w:rPr>
                <w:rFonts w:ascii="Arial" w:hAnsi="Arial" w:cs="Arial"/>
                <w:sz w:val="24"/>
                <w:szCs w:val="24"/>
                <w:lang w:eastAsia="ar-SA"/>
              </w:rPr>
            </w:pPr>
          </w:p>
          <w:p w14:paraId="17844F47" w14:textId="77777777" w:rsidR="007124D5" w:rsidRPr="00FC403B" w:rsidRDefault="00FC403B" w:rsidP="00FC403B">
            <w:pPr>
              <w:suppressAutoHyphens/>
              <w:jc w:val="both"/>
              <w:rPr>
                <w:rFonts w:ascii="Arial" w:hAnsi="Arial" w:cs="Arial"/>
                <w:sz w:val="24"/>
                <w:szCs w:val="24"/>
                <w:lang w:eastAsia="ar-SA"/>
              </w:rPr>
            </w:pPr>
            <w:r w:rsidRPr="00FC403B">
              <w:rPr>
                <w:rFonts w:ascii="Arial" w:hAnsi="Arial" w:cs="Arial"/>
                <w:sz w:val="24"/>
                <w:szCs w:val="24"/>
                <w:lang w:eastAsia="ar-SA"/>
              </w:rPr>
              <w:t>-</w:t>
            </w:r>
            <w:r w:rsidR="007124D5" w:rsidRPr="00FC403B">
              <w:rPr>
                <w:rFonts w:ascii="Arial" w:hAnsi="Arial" w:cs="Arial"/>
                <w:sz w:val="24"/>
                <w:szCs w:val="24"/>
                <w:lang w:eastAsia="ar-SA"/>
              </w:rPr>
              <w:t>Elementi terase treba da dimenzijama, težinom, međusobnim vezama i postavljanjem, omogućavaju brzu montažu, demontažu i transport, ne oštećuju površinu na koju se postavljaju, okolno zelenilo, i da budu pogodni za nesmetano kretanje djece, starijih osoba i lica sa invaliditetom.</w:t>
            </w:r>
          </w:p>
          <w:p w14:paraId="17844F48" w14:textId="77777777" w:rsidR="007124D5" w:rsidRPr="00FC403B" w:rsidRDefault="007124D5" w:rsidP="007124D5">
            <w:pPr>
              <w:suppressAutoHyphens/>
              <w:jc w:val="both"/>
              <w:rPr>
                <w:rFonts w:ascii="Arial" w:hAnsi="Arial" w:cs="Arial"/>
                <w:sz w:val="24"/>
                <w:szCs w:val="24"/>
                <w:lang w:eastAsia="ar-SA"/>
              </w:rPr>
            </w:pPr>
          </w:p>
          <w:p w14:paraId="17844F49" w14:textId="468C7481" w:rsidR="007124D5" w:rsidRPr="00FC403B" w:rsidRDefault="00FC403B" w:rsidP="00FC403B">
            <w:pPr>
              <w:suppressAutoHyphens/>
              <w:jc w:val="both"/>
              <w:rPr>
                <w:rFonts w:ascii="Arial" w:hAnsi="Arial" w:cs="Arial"/>
                <w:sz w:val="24"/>
                <w:szCs w:val="24"/>
                <w:lang w:eastAsia="ar-SA"/>
              </w:rPr>
            </w:pPr>
            <w:r w:rsidRPr="00FC403B">
              <w:rPr>
                <w:rFonts w:ascii="Arial" w:hAnsi="Arial" w:cs="Arial"/>
                <w:sz w:val="24"/>
                <w:szCs w:val="24"/>
                <w:lang w:eastAsia="ar-SA"/>
              </w:rPr>
              <w:t>-</w:t>
            </w:r>
            <w:r w:rsidR="007124D5" w:rsidRPr="00FC403B">
              <w:rPr>
                <w:rFonts w:ascii="Arial" w:hAnsi="Arial" w:cs="Arial"/>
                <w:sz w:val="24"/>
                <w:szCs w:val="24"/>
                <w:lang w:eastAsia="ar-SA"/>
              </w:rPr>
              <w:t xml:space="preserve">Opremu ugostiteljskih terasa čine stolovi, stolice, suncobrani i eventualno ograde. Za zaštitu od sunca na otvorenim terasama na javnim površinama dozvoljeno je samo postavljanje suncobrana </w:t>
            </w:r>
            <w:r w:rsidR="002658C8">
              <w:rPr>
                <w:rFonts w:ascii="Arial" w:hAnsi="Arial" w:cs="Arial"/>
                <w:sz w:val="24"/>
                <w:szCs w:val="24"/>
                <w:lang w:eastAsia="ar-SA"/>
              </w:rPr>
              <w:t xml:space="preserve">ili tendi </w:t>
            </w:r>
            <w:r w:rsidR="007124D5" w:rsidRPr="00FC403B">
              <w:rPr>
                <w:rFonts w:ascii="Arial" w:hAnsi="Arial" w:cs="Arial"/>
                <w:sz w:val="24"/>
                <w:szCs w:val="24"/>
                <w:lang w:eastAsia="ar-SA"/>
              </w:rPr>
              <w:t xml:space="preserve">(izuzetno pergola i lakih konstrukcija ako je u skladu sa ambijentalnim vrijednostima prostora i ako je Programom tako definisano za konkretnu lokaciju). </w:t>
            </w:r>
          </w:p>
          <w:p w14:paraId="17844F4A" w14:textId="77777777" w:rsidR="007124D5" w:rsidRPr="00FC403B" w:rsidRDefault="007124D5" w:rsidP="00FC403B">
            <w:pPr>
              <w:suppressAutoHyphens/>
              <w:jc w:val="both"/>
              <w:rPr>
                <w:rFonts w:ascii="Arial" w:hAnsi="Arial" w:cs="Arial"/>
                <w:sz w:val="24"/>
                <w:szCs w:val="24"/>
                <w:highlight w:val="magenta"/>
                <w:lang w:eastAsia="ar-SA"/>
              </w:rPr>
            </w:pPr>
          </w:p>
          <w:p w14:paraId="17844F4B" w14:textId="77777777" w:rsidR="007124D5" w:rsidRPr="00FC403B" w:rsidRDefault="00FC403B" w:rsidP="00FC403B">
            <w:pPr>
              <w:adjustRightInd w:val="0"/>
              <w:jc w:val="both"/>
              <w:rPr>
                <w:rFonts w:ascii="Arial" w:hAnsi="Arial" w:cs="Arial"/>
                <w:sz w:val="24"/>
                <w:szCs w:val="24"/>
              </w:rPr>
            </w:pPr>
            <w:r w:rsidRPr="00FC403B">
              <w:rPr>
                <w:rFonts w:ascii="Arial" w:hAnsi="Arial" w:cs="Arial"/>
                <w:sz w:val="24"/>
                <w:szCs w:val="24"/>
              </w:rPr>
              <w:t>-</w:t>
            </w:r>
            <w:r w:rsidR="007124D5" w:rsidRPr="00FC403B">
              <w:rPr>
                <w:rFonts w:ascii="Arial" w:hAnsi="Arial" w:cs="Arial"/>
                <w:sz w:val="24"/>
                <w:szCs w:val="24"/>
              </w:rPr>
              <w:t>Zatvaranje bočnih vertikalnih strana ugostiteljskih terasa u sastavu uređenih kupališta, uz otvoreni šank odnosno plažni bar nije dozvoljeno. Ugostiteljske terase u sastavu uređenih kupališta koje se bočno vertikalno zatvaraju smatraju se ugostiteljskim objektima i kao takve moraju biti dozvoljenje Programom.</w:t>
            </w:r>
          </w:p>
          <w:p w14:paraId="17844F4C" w14:textId="77777777" w:rsidR="007124D5" w:rsidRPr="00FC403B" w:rsidRDefault="007124D5" w:rsidP="007124D5">
            <w:pPr>
              <w:suppressAutoHyphens/>
              <w:ind w:left="720"/>
              <w:jc w:val="both"/>
              <w:rPr>
                <w:rFonts w:ascii="Arial" w:hAnsi="Arial" w:cs="Arial"/>
                <w:sz w:val="24"/>
                <w:szCs w:val="24"/>
                <w:lang w:eastAsia="ar-SA"/>
              </w:rPr>
            </w:pPr>
          </w:p>
          <w:p w14:paraId="17844F4D" w14:textId="014D17F1" w:rsidR="007124D5" w:rsidRPr="00FC403B" w:rsidRDefault="00FC403B" w:rsidP="00FC403B">
            <w:pPr>
              <w:suppressAutoHyphens/>
              <w:jc w:val="both"/>
              <w:rPr>
                <w:rFonts w:ascii="Arial" w:hAnsi="Arial" w:cs="Arial"/>
                <w:sz w:val="24"/>
                <w:szCs w:val="24"/>
                <w:lang w:eastAsia="ar-SA"/>
              </w:rPr>
            </w:pPr>
            <w:r w:rsidRPr="00FC403B">
              <w:rPr>
                <w:rFonts w:ascii="Arial" w:hAnsi="Arial" w:cs="Arial"/>
                <w:sz w:val="24"/>
                <w:szCs w:val="24"/>
                <w:lang w:eastAsia="ar-SA"/>
              </w:rPr>
              <w:lastRenderedPageBreak/>
              <w:t>-</w:t>
            </w:r>
            <w:r w:rsidR="007124D5" w:rsidRPr="00FC403B">
              <w:rPr>
                <w:rFonts w:ascii="Arial" w:hAnsi="Arial" w:cs="Arial"/>
                <w:sz w:val="24"/>
                <w:szCs w:val="24"/>
                <w:lang w:eastAsia="ar-SA"/>
              </w:rPr>
              <w:t>Ograđivanje ugostiteljskih terasa na kupalištima može biti do visine 1</w:t>
            </w:r>
            <w:r w:rsidR="002658C8">
              <w:rPr>
                <w:rFonts w:ascii="Arial" w:hAnsi="Arial" w:cs="Arial"/>
                <w:sz w:val="24"/>
                <w:szCs w:val="24"/>
                <w:lang w:eastAsia="ar-SA"/>
              </w:rPr>
              <w:t>1</w:t>
            </w:r>
            <w:r w:rsidR="007124D5" w:rsidRPr="00FC403B">
              <w:rPr>
                <w:rFonts w:ascii="Arial" w:hAnsi="Arial" w:cs="Arial"/>
                <w:sz w:val="24"/>
                <w:szCs w:val="24"/>
                <w:lang w:eastAsia="ar-SA"/>
              </w:rPr>
              <w:t>0cm i ne smije biti fiksirano za podlogu. Za ograđivanje se mogu koristiti vaze, žardinjere ili lako prenosivi stubići, ukrasni lanci i ukrasni konopi. Prilikom postavljanja ograde ugostiteljske terase na kupalištima, mora se obezbjediti nesmetan pristup do plaže kao i pristu</w:t>
            </w:r>
            <w:r w:rsidR="0034272C">
              <w:rPr>
                <w:rFonts w:ascii="Arial" w:hAnsi="Arial" w:cs="Arial"/>
                <w:sz w:val="24"/>
                <w:szCs w:val="24"/>
                <w:lang w:eastAsia="ar-SA"/>
              </w:rPr>
              <w:t>p do drugih objekata širine minimalno</w:t>
            </w:r>
            <w:r w:rsidR="007124D5" w:rsidRPr="00FC403B">
              <w:rPr>
                <w:rFonts w:ascii="Arial" w:hAnsi="Arial" w:cs="Arial"/>
                <w:sz w:val="24"/>
                <w:szCs w:val="24"/>
                <w:lang w:eastAsia="ar-SA"/>
              </w:rPr>
              <w:t xml:space="preserve"> 1,</w:t>
            </w:r>
            <w:r w:rsidR="002658C8">
              <w:rPr>
                <w:rFonts w:ascii="Arial" w:hAnsi="Arial" w:cs="Arial"/>
                <w:sz w:val="24"/>
                <w:szCs w:val="24"/>
                <w:lang w:eastAsia="ar-SA"/>
              </w:rPr>
              <w:t>5</w:t>
            </w:r>
            <w:r w:rsidR="007124D5" w:rsidRPr="00FC403B">
              <w:rPr>
                <w:rFonts w:ascii="Arial" w:hAnsi="Arial" w:cs="Arial"/>
                <w:sz w:val="24"/>
                <w:szCs w:val="24"/>
                <w:lang w:eastAsia="ar-SA"/>
              </w:rPr>
              <w:t xml:space="preserve">m. </w:t>
            </w:r>
          </w:p>
          <w:p w14:paraId="17844F4E" w14:textId="77777777" w:rsidR="007124D5" w:rsidRPr="00FC403B" w:rsidRDefault="007124D5" w:rsidP="004D5F23">
            <w:pPr>
              <w:jc w:val="both"/>
              <w:rPr>
                <w:rFonts w:ascii="Arial" w:hAnsi="Arial" w:cs="Arial"/>
                <w:sz w:val="24"/>
                <w:szCs w:val="24"/>
              </w:rPr>
            </w:pPr>
            <w:r w:rsidRPr="00FC403B">
              <w:rPr>
                <w:rFonts w:ascii="Arial" w:hAnsi="Arial" w:cs="Arial"/>
                <w:sz w:val="24"/>
                <w:szCs w:val="24"/>
              </w:rPr>
              <w:t xml:space="preserve"> </w:t>
            </w:r>
          </w:p>
          <w:p w14:paraId="17844F4F" w14:textId="77777777" w:rsidR="007124D5" w:rsidRPr="00FC403B" w:rsidRDefault="00FC403B" w:rsidP="00FC403B">
            <w:pPr>
              <w:suppressAutoHyphens/>
              <w:jc w:val="both"/>
              <w:rPr>
                <w:rFonts w:ascii="Arial" w:hAnsi="Arial" w:cs="Arial"/>
                <w:sz w:val="24"/>
                <w:szCs w:val="24"/>
                <w:lang w:eastAsia="ar-SA"/>
              </w:rPr>
            </w:pPr>
            <w:r w:rsidRPr="00FC403B">
              <w:rPr>
                <w:rFonts w:ascii="Arial" w:hAnsi="Arial" w:cs="Arial"/>
                <w:sz w:val="24"/>
                <w:szCs w:val="24"/>
                <w:lang w:eastAsia="ar-SA"/>
              </w:rPr>
              <w:t>-</w:t>
            </w:r>
            <w:r w:rsidR="007124D5" w:rsidRPr="00FC403B">
              <w:rPr>
                <w:rFonts w:ascii="Arial" w:hAnsi="Arial" w:cs="Arial"/>
                <w:sz w:val="24"/>
                <w:szCs w:val="24"/>
                <w:lang w:eastAsia="ar-SA"/>
              </w:rPr>
              <w:t xml:space="preserve">Suncobrani kao oprema ugostiteljske terase ne smiju biti agresivni oblikom, veličinom i bojom i moraju biti uniformni. Prihvatljivi su suncobrani prekriveni isključivo akrilnim impregniranim platnom i sklopivim mehanizmom. Nisu prihvatljivi zastori od PVC materijala za suncobrane ili za druge vrste natkrivanja. Boja platna (zastora) treba da bude diskretna. Poželjna je bijela i bež boja dok se u izuzetnim slučajevima kada se to potvrđuje analizom okolnog ambijenta mogu koristiti i neke druge boje (teget, bordo, tamnija zelena..), ali nikako jarke i agresivne boje. </w:t>
            </w:r>
          </w:p>
          <w:p w14:paraId="17844F50" w14:textId="77777777" w:rsidR="007124D5" w:rsidRPr="00FC403B" w:rsidRDefault="007124D5" w:rsidP="007124D5">
            <w:pPr>
              <w:pStyle w:val="ListParagraph"/>
              <w:rPr>
                <w:rFonts w:ascii="Arial" w:hAnsi="Arial" w:cs="Arial"/>
                <w:sz w:val="24"/>
                <w:szCs w:val="24"/>
                <w:lang w:eastAsia="ar-SA"/>
              </w:rPr>
            </w:pPr>
          </w:p>
          <w:p w14:paraId="17844F51" w14:textId="77777777" w:rsidR="007124D5" w:rsidRPr="00FC403B" w:rsidRDefault="00FC403B" w:rsidP="00FC403B">
            <w:pPr>
              <w:suppressAutoHyphens/>
              <w:jc w:val="both"/>
              <w:rPr>
                <w:rFonts w:ascii="Arial" w:hAnsi="Arial" w:cs="Arial"/>
                <w:sz w:val="24"/>
                <w:szCs w:val="24"/>
                <w:lang w:eastAsia="ar-SA"/>
              </w:rPr>
            </w:pPr>
            <w:r w:rsidRPr="00FC403B">
              <w:rPr>
                <w:rFonts w:ascii="Arial" w:hAnsi="Arial" w:cs="Arial"/>
                <w:sz w:val="24"/>
                <w:szCs w:val="24"/>
                <w:lang w:eastAsia="ar-SA"/>
              </w:rPr>
              <w:t>-</w:t>
            </w:r>
            <w:r w:rsidR="007124D5" w:rsidRPr="00FC403B">
              <w:rPr>
                <w:rFonts w:ascii="Arial" w:hAnsi="Arial" w:cs="Arial"/>
                <w:sz w:val="24"/>
                <w:szCs w:val="24"/>
                <w:lang w:eastAsia="ar-SA"/>
              </w:rPr>
              <w:t>Postavljen i otvoren suncobran može natkrivati samo tlocrtnu površinu ukupne površine odobrene terase, bez mogućnosti zatvaranja bočnih vertikalnih strana najlonom ili nekim drugim materijalom, odnosno konstrukcijom. Suncobran mora imati pokretni oslonac na tlu, izrađen tako da se lako skapa i prenosi, a na donjem dijelu mora imati zaštitu protiv oštećenja podne podloge pomicanjem ili povlačenjem.</w:t>
            </w:r>
          </w:p>
          <w:p w14:paraId="17844F52" w14:textId="77777777" w:rsidR="007124D5" w:rsidRPr="00FC403B" w:rsidRDefault="007124D5" w:rsidP="007124D5">
            <w:pPr>
              <w:suppressAutoHyphens/>
              <w:jc w:val="both"/>
              <w:rPr>
                <w:rFonts w:ascii="Arial" w:hAnsi="Arial" w:cs="Arial"/>
                <w:sz w:val="24"/>
                <w:szCs w:val="24"/>
                <w:lang w:eastAsia="ar-SA"/>
              </w:rPr>
            </w:pPr>
          </w:p>
          <w:p w14:paraId="17844F53" w14:textId="77777777" w:rsidR="007124D5" w:rsidRPr="00FC403B" w:rsidRDefault="00FC403B" w:rsidP="00FC403B">
            <w:pPr>
              <w:suppressAutoHyphens/>
              <w:jc w:val="both"/>
              <w:rPr>
                <w:rFonts w:ascii="Arial" w:hAnsi="Arial" w:cs="Arial"/>
                <w:sz w:val="24"/>
                <w:szCs w:val="24"/>
                <w:lang w:eastAsia="ar-SA"/>
              </w:rPr>
            </w:pPr>
            <w:r w:rsidRPr="00FC403B">
              <w:rPr>
                <w:rFonts w:ascii="Arial" w:hAnsi="Arial" w:cs="Arial"/>
                <w:sz w:val="24"/>
                <w:szCs w:val="24"/>
                <w:lang w:eastAsia="ar-SA"/>
              </w:rPr>
              <w:t>-</w:t>
            </w:r>
            <w:r w:rsidR="007124D5" w:rsidRPr="00FC403B">
              <w:rPr>
                <w:rFonts w:ascii="Arial" w:hAnsi="Arial" w:cs="Arial"/>
                <w:sz w:val="24"/>
                <w:szCs w:val="24"/>
                <w:lang w:eastAsia="ar-SA"/>
              </w:rPr>
              <w:t xml:space="preserve">Na javnim površinama nije dozvoljeno isticanje reklamnih sadržaja na suncobranima i tendama koji se ne odnose na natpise naziva lokala. Natpisi naziva lokala mogu se naći na obodima tendi i moraju biti u skladu sa osnovnim tonom pokrivača. </w:t>
            </w:r>
          </w:p>
          <w:p w14:paraId="17844F54" w14:textId="77777777" w:rsidR="007124D5" w:rsidRPr="00FC403B" w:rsidRDefault="007124D5" w:rsidP="007124D5">
            <w:pPr>
              <w:suppressAutoHyphens/>
              <w:jc w:val="both"/>
              <w:rPr>
                <w:rFonts w:ascii="Arial" w:hAnsi="Arial" w:cs="Arial"/>
                <w:sz w:val="24"/>
                <w:szCs w:val="24"/>
                <w:lang w:eastAsia="ar-SA"/>
              </w:rPr>
            </w:pPr>
          </w:p>
          <w:p w14:paraId="17844F55" w14:textId="77777777" w:rsidR="007124D5" w:rsidRDefault="00FC403B" w:rsidP="00FC403B">
            <w:pPr>
              <w:suppressAutoHyphens/>
              <w:jc w:val="both"/>
              <w:rPr>
                <w:rFonts w:ascii="Arial" w:hAnsi="Arial" w:cs="Arial"/>
                <w:sz w:val="24"/>
                <w:szCs w:val="24"/>
                <w:lang w:eastAsia="ar-SA"/>
              </w:rPr>
            </w:pPr>
            <w:r w:rsidRPr="00FC403B">
              <w:rPr>
                <w:rFonts w:ascii="Arial" w:hAnsi="Arial" w:cs="Arial"/>
                <w:sz w:val="24"/>
                <w:szCs w:val="24"/>
                <w:lang w:eastAsia="ar-SA"/>
              </w:rPr>
              <w:t>-</w:t>
            </w:r>
            <w:r w:rsidR="007124D5" w:rsidRPr="00FC403B">
              <w:rPr>
                <w:rFonts w:ascii="Arial" w:hAnsi="Arial" w:cs="Arial"/>
                <w:sz w:val="24"/>
                <w:szCs w:val="24"/>
                <w:lang w:eastAsia="ar-SA"/>
              </w:rPr>
              <w:t xml:space="preserve">Oprema ugostiteljskih terasa (mobilijar) treba da bude lagana, ujednačena, jednostavnih linija, po mogućnosti od prirodnih materijala. Savremeni dizajn je veoma preporučljiv. </w:t>
            </w:r>
          </w:p>
          <w:p w14:paraId="17844F56" w14:textId="77777777" w:rsidR="007124D5" w:rsidRPr="00FC403B" w:rsidRDefault="007124D5" w:rsidP="007124D5">
            <w:pPr>
              <w:pStyle w:val="ListParagraph"/>
              <w:rPr>
                <w:rFonts w:ascii="Arial" w:hAnsi="Arial" w:cs="Arial"/>
                <w:sz w:val="24"/>
                <w:szCs w:val="24"/>
                <w:lang w:eastAsia="ar-SA"/>
              </w:rPr>
            </w:pPr>
          </w:p>
          <w:p w14:paraId="17844F57" w14:textId="77777777" w:rsidR="002E0A74" w:rsidRDefault="002E0A74" w:rsidP="002E0A74">
            <w:pPr>
              <w:suppressAutoHyphens/>
              <w:jc w:val="both"/>
              <w:rPr>
                <w:rFonts w:ascii="Arial" w:hAnsi="Arial" w:cs="Arial"/>
                <w:sz w:val="24"/>
                <w:szCs w:val="24"/>
                <w:lang w:eastAsia="ar-SA"/>
              </w:rPr>
            </w:pPr>
            <w:r w:rsidRPr="00FC403B">
              <w:rPr>
                <w:rFonts w:ascii="Arial" w:hAnsi="Arial" w:cs="Arial"/>
                <w:sz w:val="24"/>
                <w:szCs w:val="24"/>
                <w:lang w:eastAsia="ar-SA"/>
              </w:rPr>
              <w:t>-Postavljanje uređaja za hlađenje i zagrijevanje terase električnom energijom vrši se u skladu sa posebnim propisima koji se odnose na električne i termotehničke instalacije.</w:t>
            </w:r>
          </w:p>
          <w:p w14:paraId="6D497CED" w14:textId="38B7840F" w:rsidR="005D5822" w:rsidRDefault="006F56B9" w:rsidP="002E0A74">
            <w:pPr>
              <w:suppressAutoHyphens/>
              <w:jc w:val="both"/>
              <w:rPr>
                <w:rFonts w:ascii="Arial" w:hAnsi="Arial" w:cs="Arial"/>
                <w:sz w:val="24"/>
                <w:szCs w:val="24"/>
                <w:lang w:eastAsia="ar-SA"/>
              </w:rPr>
            </w:pPr>
            <w:r>
              <w:rPr>
                <w:rFonts w:ascii="Arial" w:hAnsi="Arial" w:cs="Arial"/>
                <w:sz w:val="24"/>
                <w:szCs w:val="24"/>
                <w:lang w:eastAsia="ar-SA"/>
              </w:rPr>
              <w:t>-</w:t>
            </w:r>
            <w:r w:rsidR="000A78BA">
              <w:t xml:space="preserve"> </w:t>
            </w:r>
            <w:r w:rsidR="000A78BA" w:rsidRPr="000A78BA">
              <w:rPr>
                <w:rFonts w:ascii="Arial" w:hAnsi="Arial" w:cs="Arial"/>
                <w:sz w:val="24"/>
                <w:szCs w:val="24"/>
                <w:lang w:eastAsia="ar-SA"/>
              </w:rPr>
              <w:t>Za ugostiteljsku terasu čija bruto površina ne prelazi 60m</w:t>
            </w:r>
            <w:r w:rsidR="000A78BA" w:rsidRPr="0034272C">
              <w:rPr>
                <w:rFonts w:ascii="Arial" w:hAnsi="Arial" w:cs="Arial"/>
                <w:sz w:val="24"/>
                <w:szCs w:val="24"/>
                <w:vertAlign w:val="superscript"/>
                <w:lang w:eastAsia="ar-SA"/>
              </w:rPr>
              <w:t>2</w:t>
            </w:r>
            <w:r w:rsidR="000A78BA" w:rsidRPr="000A78BA">
              <w:rPr>
                <w:rFonts w:ascii="Arial" w:hAnsi="Arial" w:cs="Arial"/>
                <w:sz w:val="24"/>
                <w:szCs w:val="24"/>
                <w:lang w:eastAsia="ar-SA"/>
              </w:rPr>
              <w:t>, tehničku dokumentaciju čini idejno rješenje, kao i fotografije opreme koja se postavlja na ugostiteljskoj terasi, dok za ugostiteljsku terasu čija je bruto površina veća od 60 m</w:t>
            </w:r>
            <w:r w:rsidR="000A78BA" w:rsidRPr="0034272C">
              <w:rPr>
                <w:rFonts w:ascii="Arial" w:hAnsi="Arial" w:cs="Arial"/>
                <w:sz w:val="24"/>
                <w:szCs w:val="24"/>
                <w:vertAlign w:val="superscript"/>
                <w:lang w:eastAsia="ar-SA"/>
              </w:rPr>
              <w:t>2</w:t>
            </w:r>
            <w:r w:rsidR="000A78BA" w:rsidRPr="000A78BA">
              <w:rPr>
                <w:rFonts w:ascii="Arial" w:hAnsi="Arial" w:cs="Arial"/>
                <w:sz w:val="24"/>
                <w:szCs w:val="24"/>
                <w:lang w:eastAsia="ar-SA"/>
              </w:rPr>
              <w:t xml:space="preserve">, tehničku dokumentaciju čini revidovan </w:t>
            </w:r>
            <w:r w:rsidR="0034272C">
              <w:rPr>
                <w:rFonts w:ascii="Arial" w:hAnsi="Arial" w:cs="Arial"/>
                <w:sz w:val="24"/>
                <w:szCs w:val="24"/>
                <w:lang w:eastAsia="ar-SA"/>
              </w:rPr>
              <w:t>G</w:t>
            </w:r>
            <w:r w:rsidR="000A78BA" w:rsidRPr="000A78BA">
              <w:rPr>
                <w:rFonts w:ascii="Arial" w:hAnsi="Arial" w:cs="Arial"/>
                <w:sz w:val="24"/>
                <w:szCs w:val="24"/>
                <w:lang w:eastAsia="ar-SA"/>
              </w:rPr>
              <w:t>lavni projekat.</w:t>
            </w:r>
          </w:p>
          <w:p w14:paraId="17844F58" w14:textId="77777777" w:rsidR="002E0A74" w:rsidRDefault="002E0A74" w:rsidP="002E0A74">
            <w:pPr>
              <w:suppressAutoHyphens/>
              <w:jc w:val="both"/>
              <w:rPr>
                <w:rFonts w:ascii="Arial" w:hAnsi="Arial" w:cs="Arial"/>
                <w:sz w:val="24"/>
                <w:szCs w:val="24"/>
                <w:lang w:eastAsia="ar-SA"/>
              </w:rPr>
            </w:pPr>
          </w:p>
          <w:p w14:paraId="17844F59" w14:textId="7904E652" w:rsidR="002E0A74" w:rsidRPr="00FC403B" w:rsidRDefault="002E0A74" w:rsidP="002E0A74">
            <w:pPr>
              <w:suppressAutoHyphens/>
              <w:jc w:val="both"/>
              <w:rPr>
                <w:rFonts w:ascii="Arial" w:hAnsi="Arial" w:cs="Arial"/>
                <w:sz w:val="24"/>
                <w:szCs w:val="24"/>
                <w:lang w:eastAsia="ar-SA"/>
              </w:rPr>
            </w:pPr>
            <w:r>
              <w:rPr>
                <w:rFonts w:ascii="Arial" w:hAnsi="Arial" w:cs="Arial"/>
                <w:sz w:val="24"/>
                <w:szCs w:val="24"/>
                <w:lang w:eastAsia="ar-SA"/>
              </w:rPr>
              <w:t xml:space="preserve">Primjer </w:t>
            </w:r>
            <w:r w:rsidR="0034272C">
              <w:rPr>
                <w:rFonts w:ascii="Arial" w:hAnsi="Arial" w:cs="Arial"/>
                <w:sz w:val="24"/>
                <w:szCs w:val="24"/>
                <w:lang w:eastAsia="ar-SA"/>
              </w:rPr>
              <w:t>otvorenog šanka</w:t>
            </w:r>
          </w:p>
          <w:p w14:paraId="17844F5B" w14:textId="71E4036C" w:rsidR="00BE68C1" w:rsidRPr="00F9417F" w:rsidRDefault="002E0A74" w:rsidP="00F9417F">
            <w:pPr>
              <w:suppressAutoHyphens/>
              <w:jc w:val="both"/>
              <w:rPr>
                <w:rFonts w:ascii="Arial" w:hAnsi="Arial" w:cs="Arial"/>
                <w:sz w:val="24"/>
                <w:szCs w:val="24"/>
                <w:lang w:eastAsia="ar-SA"/>
              </w:rPr>
            </w:pPr>
            <w:r w:rsidRPr="00EF553A">
              <w:rPr>
                <w:rFonts w:ascii="Arial" w:hAnsi="Arial" w:cs="Arial"/>
                <w:b/>
                <w:sz w:val="24"/>
                <w:szCs w:val="24"/>
                <w:lang w:val="en-US"/>
              </w:rPr>
              <w:t xml:space="preserve"> </w:t>
            </w:r>
            <w:r w:rsidRPr="001D2177">
              <w:rPr>
                <w:rFonts w:ascii="Tahoma" w:hAnsi="Tahoma" w:cs="Tahoma"/>
                <w:noProof/>
                <w:lang w:val="en-US"/>
              </w:rPr>
              <w:drawing>
                <wp:inline distT="0" distB="0" distL="0" distR="0" wp14:anchorId="17844FF3" wp14:editId="51FAC219">
                  <wp:extent cx="3241964" cy="2161380"/>
                  <wp:effectExtent l="0" t="0" r="0" b="0"/>
                  <wp:docPr id="1" name="Picture 1" descr="ezultat slika za beach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ultat slika za beach b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5562" cy="2237115"/>
                          </a:xfrm>
                          <a:prstGeom prst="rect">
                            <a:avLst/>
                          </a:prstGeom>
                          <a:noFill/>
                          <a:ln>
                            <a:noFill/>
                          </a:ln>
                        </pic:spPr>
                      </pic:pic>
                    </a:graphicData>
                  </a:graphic>
                </wp:inline>
              </w:drawing>
            </w: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2" w14:textId="5F391659" w:rsidR="002669FD" w:rsidRPr="007B3552" w:rsidRDefault="002658C8" w:rsidP="002658C8">
            <w:pPr>
              <w:tabs>
                <w:tab w:val="left" w:pos="6915"/>
              </w:tabs>
              <w:jc w:val="both"/>
              <w:rPr>
                <w:rFonts w:ascii="Arial" w:hAnsi="Arial" w:cs="Arial"/>
                <w:sz w:val="24"/>
                <w:szCs w:val="24"/>
              </w:rPr>
            </w:pPr>
            <w:r w:rsidRPr="00724C8B">
              <w:rPr>
                <w:rFonts w:ascii="Arial" w:hAnsi="Arial" w:cs="Arial"/>
                <w:b/>
                <w:bCs/>
                <w:sz w:val="24"/>
                <w:szCs w:val="24"/>
              </w:rPr>
              <w:t>Otvoreni šank</w:t>
            </w:r>
            <w:r w:rsidR="00E748E6" w:rsidRPr="00724C8B">
              <w:rPr>
                <w:rFonts w:ascii="Arial" w:hAnsi="Arial" w:cs="Arial"/>
                <w:b/>
                <w:bCs/>
                <w:sz w:val="24"/>
                <w:szCs w:val="24"/>
              </w:rPr>
              <w:t xml:space="preserve"> sa terasom</w:t>
            </w:r>
            <w:r w:rsidR="00E748E6">
              <w:rPr>
                <w:rFonts w:ascii="Arial" w:hAnsi="Arial" w:cs="Arial"/>
                <w:sz w:val="24"/>
                <w:szCs w:val="24"/>
              </w:rPr>
              <w:t xml:space="preserve"> </w:t>
            </w:r>
            <w:r w:rsidR="009000DD" w:rsidRPr="00B76520">
              <w:rPr>
                <w:rFonts w:ascii="Arial" w:hAnsi="Arial" w:cs="Arial"/>
                <w:sz w:val="24"/>
                <w:szCs w:val="24"/>
                <w:lang w:val="it-IT"/>
              </w:rPr>
              <w:t>predvi</w:t>
            </w:r>
            <w:r w:rsidR="009000DD" w:rsidRPr="002E79CB">
              <w:rPr>
                <w:rFonts w:ascii="Arial" w:hAnsi="Arial" w:cs="Arial"/>
                <w:sz w:val="24"/>
                <w:szCs w:val="24"/>
              </w:rPr>
              <w:t>đ</w:t>
            </w:r>
            <w:r w:rsidR="009000DD" w:rsidRPr="00B76520">
              <w:rPr>
                <w:rFonts w:ascii="Arial" w:hAnsi="Arial" w:cs="Arial"/>
                <w:sz w:val="24"/>
                <w:szCs w:val="24"/>
                <w:lang w:val="it-IT"/>
              </w:rPr>
              <w:t>a</w:t>
            </w:r>
            <w:r w:rsidR="009000DD" w:rsidRPr="002E79CB">
              <w:rPr>
                <w:rFonts w:ascii="Arial" w:hAnsi="Arial" w:cs="Arial"/>
                <w:sz w:val="24"/>
                <w:szCs w:val="24"/>
              </w:rPr>
              <w:t xml:space="preserve"> </w:t>
            </w:r>
            <w:r w:rsidR="009000DD" w:rsidRPr="00B76520">
              <w:rPr>
                <w:rFonts w:ascii="Arial" w:hAnsi="Arial" w:cs="Arial"/>
                <w:sz w:val="24"/>
                <w:szCs w:val="24"/>
                <w:lang w:val="it-IT"/>
              </w:rPr>
              <w:t>se</w:t>
            </w:r>
            <w:r w:rsidR="009000DD" w:rsidRPr="002E79CB">
              <w:rPr>
                <w:rFonts w:ascii="Arial" w:hAnsi="Arial" w:cs="Arial"/>
                <w:sz w:val="24"/>
                <w:szCs w:val="24"/>
              </w:rPr>
              <w:t xml:space="preserve"> </w:t>
            </w:r>
            <w:r w:rsidR="009000DD" w:rsidRPr="00B76520">
              <w:rPr>
                <w:rFonts w:ascii="Arial" w:hAnsi="Arial" w:cs="Arial"/>
                <w:sz w:val="24"/>
                <w:szCs w:val="24"/>
                <w:lang w:val="it-IT"/>
              </w:rPr>
              <w:t>na</w:t>
            </w:r>
            <w:r w:rsidR="009000DD" w:rsidRPr="002E79CB">
              <w:rPr>
                <w:rFonts w:ascii="Arial" w:hAnsi="Arial" w:cs="Arial"/>
                <w:sz w:val="24"/>
                <w:szCs w:val="24"/>
              </w:rPr>
              <w:t xml:space="preserve"> </w:t>
            </w:r>
            <w:r w:rsidR="009000DD" w:rsidRPr="00B76520">
              <w:rPr>
                <w:rFonts w:ascii="Arial" w:hAnsi="Arial" w:cs="Arial"/>
                <w:b/>
                <w:bCs/>
                <w:sz w:val="24"/>
                <w:szCs w:val="24"/>
                <w:lang w:val="it-IT"/>
              </w:rPr>
              <w:t>kp</w:t>
            </w:r>
            <w:r w:rsidR="009000DD" w:rsidRPr="00B76520">
              <w:rPr>
                <w:rFonts w:ascii="Arial" w:hAnsi="Arial" w:cs="Arial"/>
                <w:b/>
                <w:bCs/>
                <w:sz w:val="24"/>
                <w:szCs w:val="24"/>
              </w:rPr>
              <w:t xml:space="preserve"> </w:t>
            </w:r>
            <w:r w:rsidR="00872BCA" w:rsidRPr="00872BCA">
              <w:rPr>
                <w:rFonts w:ascii="Arial" w:hAnsi="Arial" w:cs="Arial"/>
                <w:b/>
                <w:bCs/>
                <w:sz w:val="24"/>
                <w:szCs w:val="24"/>
              </w:rPr>
              <w:t>327</w:t>
            </w:r>
            <w:r w:rsidR="00724C8B">
              <w:rPr>
                <w:rFonts w:ascii="Arial" w:hAnsi="Arial" w:cs="Arial"/>
                <w:b/>
                <w:bCs/>
                <w:sz w:val="24"/>
                <w:szCs w:val="24"/>
              </w:rPr>
              <w:t xml:space="preserve"> i 328</w:t>
            </w:r>
            <w:r w:rsidR="00872BCA" w:rsidRPr="00872BCA">
              <w:rPr>
                <w:rFonts w:ascii="Arial" w:hAnsi="Arial" w:cs="Arial"/>
                <w:b/>
                <w:bCs/>
                <w:sz w:val="24"/>
                <w:szCs w:val="24"/>
              </w:rPr>
              <w:t xml:space="preserve"> KO Dobrota I</w:t>
            </w:r>
            <w:r w:rsidR="00E748E6" w:rsidRPr="00B76520">
              <w:rPr>
                <w:rFonts w:ascii="Arial" w:hAnsi="Arial" w:cs="Arial"/>
                <w:b/>
                <w:bCs/>
                <w:sz w:val="24"/>
                <w:szCs w:val="24"/>
              </w:rPr>
              <w:t xml:space="preserve">, </w:t>
            </w:r>
            <w:r w:rsidR="00E748E6" w:rsidRPr="00872BCA">
              <w:rPr>
                <w:rFonts w:ascii="Arial" w:hAnsi="Arial" w:cs="Arial"/>
                <w:b/>
                <w:bCs/>
                <w:sz w:val="24"/>
                <w:szCs w:val="24"/>
                <w:lang w:val="it-IT"/>
              </w:rPr>
              <w:t>op</w:t>
            </w:r>
            <w:r w:rsidR="00E748E6" w:rsidRPr="00B76520">
              <w:rPr>
                <w:rFonts w:ascii="Arial" w:hAnsi="Arial" w:cs="Arial"/>
                <w:b/>
                <w:bCs/>
                <w:sz w:val="24"/>
                <w:szCs w:val="24"/>
              </w:rPr>
              <w:t>š</w:t>
            </w:r>
            <w:r w:rsidR="00E748E6" w:rsidRPr="00872BCA">
              <w:rPr>
                <w:rFonts w:ascii="Arial" w:hAnsi="Arial" w:cs="Arial"/>
                <w:b/>
                <w:bCs/>
                <w:sz w:val="24"/>
                <w:szCs w:val="24"/>
                <w:lang w:val="it-IT"/>
              </w:rPr>
              <w:t>tina</w:t>
            </w:r>
            <w:r w:rsidR="00E748E6" w:rsidRPr="00B76520">
              <w:rPr>
                <w:rFonts w:ascii="Arial" w:hAnsi="Arial" w:cs="Arial"/>
                <w:b/>
                <w:bCs/>
                <w:sz w:val="24"/>
                <w:szCs w:val="24"/>
              </w:rPr>
              <w:t xml:space="preserve"> </w:t>
            </w:r>
            <w:r w:rsidR="00B76520" w:rsidRPr="00872BCA">
              <w:rPr>
                <w:rFonts w:ascii="Arial" w:hAnsi="Arial" w:cs="Arial"/>
                <w:b/>
                <w:bCs/>
                <w:sz w:val="24"/>
                <w:szCs w:val="24"/>
                <w:lang w:val="it-IT"/>
              </w:rPr>
              <w:t>Kotor</w:t>
            </w: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4" w14:textId="448E3D04"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na</w:t>
            </w:r>
            <w:r w:rsidR="007B7F6B">
              <w:rPr>
                <w:rFonts w:ascii="Arial" w:hAnsi="Arial" w:cs="Arial"/>
                <w:sz w:val="24"/>
                <w:szCs w:val="24"/>
              </w:rPr>
              <w:t xml:space="preserve"> uređenim</w:t>
            </w:r>
            <w:r w:rsidRPr="002046B0">
              <w:rPr>
                <w:rFonts w:ascii="Arial" w:hAnsi="Arial" w:cs="Arial"/>
                <w:sz w:val="24"/>
                <w:szCs w:val="24"/>
              </w:rPr>
              <w:t xml:space="preserve"> zelenim površinama. Poželjno ih je</w:t>
            </w:r>
            <w:r w:rsidR="00EA6C79">
              <w:rPr>
                <w:rFonts w:ascii="Arial" w:hAnsi="Arial" w:cs="Arial"/>
                <w:sz w:val="24"/>
                <w:szCs w:val="24"/>
              </w:rPr>
              <w:t xml:space="preserve"> </w:t>
            </w:r>
            <w:r w:rsidRPr="002046B0">
              <w:rPr>
                <w:rFonts w:ascii="Arial" w:hAnsi="Arial" w:cs="Arial"/>
                <w:sz w:val="24"/>
                <w:szCs w:val="24"/>
              </w:rPr>
              <w:t>postavljati na neuređenim površinama koje bi na taj način bile oplemenjene.</w:t>
            </w:r>
          </w:p>
          <w:p w14:paraId="17844F75" w14:textId="77777777"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ako na bilo koji način ugrožavaju životnu</w:t>
            </w:r>
            <w:r w:rsidR="00E748E6" w:rsidRPr="002046B0">
              <w:rPr>
                <w:rFonts w:ascii="Arial" w:hAnsi="Arial" w:cs="Arial"/>
                <w:sz w:val="24"/>
                <w:szCs w:val="24"/>
              </w:rPr>
              <w:t xml:space="preserve"> </w:t>
            </w:r>
            <w:r w:rsidRPr="002046B0">
              <w:rPr>
                <w:rFonts w:ascii="Arial" w:hAnsi="Arial" w:cs="Arial"/>
                <w:sz w:val="24"/>
                <w:szCs w:val="24"/>
              </w:rPr>
              <w:t>sredinu (prekomjerna buka, štetna isparenja, opasni otpad i sl.).</w:t>
            </w:r>
          </w:p>
          <w:p w14:paraId="17844F76" w14:textId="77777777" w:rsidR="004C492F" w:rsidRPr="002046B0" w:rsidRDefault="004C492F" w:rsidP="004C492F">
            <w:pPr>
              <w:tabs>
                <w:tab w:val="left" w:pos="6915"/>
              </w:tabs>
              <w:jc w:val="both"/>
              <w:rPr>
                <w:rFonts w:ascii="Arial" w:hAnsi="Arial" w:cs="Arial"/>
                <w:sz w:val="24"/>
                <w:szCs w:val="24"/>
              </w:rPr>
            </w:pPr>
          </w:p>
          <w:p w14:paraId="17844F77" w14:textId="778E866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Tehničkom dokumentacijom predvidjeti uslove i mjere za zaštitu životne sredine u skladu sa odredbama Zakona o procjeni uticaja na životnu sredinu („Službeni list CG“, br.80/05, 40/10, 73/10, 40/11, 27/13 i 52/16) i Zakonom za zaštitu prirode („Službeni list CG“, br.54/16</w:t>
            </w:r>
            <w:r w:rsidR="002658C8">
              <w:rPr>
                <w:rFonts w:ascii="Arial" w:hAnsi="Arial" w:cs="Arial"/>
                <w:sz w:val="24"/>
                <w:szCs w:val="24"/>
              </w:rPr>
              <w:t>, 18/19</w:t>
            </w:r>
            <w:r w:rsidRPr="002046B0">
              <w:rPr>
                <w:rFonts w:ascii="Arial" w:hAnsi="Arial" w:cs="Arial"/>
                <w:sz w:val="24"/>
                <w:szCs w:val="24"/>
              </w:rPr>
              <w:t>) 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2EAE3652" w:rsidR="00727CDC" w:rsidRPr="007B3552" w:rsidRDefault="00727CDC" w:rsidP="00FE168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E79CB" w:rsidRDefault="00927CD0" w:rsidP="00927CD0">
            <w:pPr>
              <w:autoSpaceDE w:val="0"/>
              <w:autoSpaceDN w:val="0"/>
              <w:adjustRightInd w:val="0"/>
              <w:jc w:val="both"/>
              <w:rPr>
                <w:rFonts w:ascii="Arial" w:hAnsi="Arial" w:cs="Arial"/>
                <w:sz w:val="24"/>
                <w:szCs w:val="24"/>
              </w:rPr>
            </w:pPr>
            <w:proofErr w:type="spellStart"/>
            <w:r w:rsidRPr="002046B0">
              <w:rPr>
                <w:rFonts w:ascii="Arial" w:hAnsi="Arial" w:cs="Arial"/>
                <w:sz w:val="24"/>
                <w:szCs w:val="24"/>
                <w:lang w:val="en-US"/>
              </w:rPr>
              <w:t>Zabranjeno</w:t>
            </w:r>
            <w:proofErr w:type="spellEnd"/>
            <w:r w:rsidRPr="002E79CB">
              <w:rPr>
                <w:rFonts w:ascii="Arial" w:hAnsi="Arial" w:cs="Arial"/>
                <w:sz w:val="24"/>
                <w:szCs w:val="24"/>
              </w:rPr>
              <w:t xml:space="preserve"> </w:t>
            </w:r>
            <w:r w:rsidRPr="002046B0">
              <w:rPr>
                <w:rFonts w:ascii="Arial" w:hAnsi="Arial" w:cs="Arial"/>
                <w:sz w:val="24"/>
                <w:szCs w:val="24"/>
                <w:lang w:val="en-US"/>
              </w:rPr>
              <w:t>je</w:t>
            </w:r>
            <w:r w:rsidRPr="002E79CB">
              <w:rPr>
                <w:rFonts w:ascii="Arial" w:hAnsi="Arial" w:cs="Arial"/>
                <w:sz w:val="24"/>
                <w:szCs w:val="24"/>
              </w:rPr>
              <w:t xml:space="preserve"> </w:t>
            </w:r>
            <w:r w:rsidRPr="002046B0">
              <w:rPr>
                <w:rFonts w:ascii="Arial" w:hAnsi="Arial" w:cs="Arial"/>
                <w:sz w:val="24"/>
                <w:szCs w:val="24"/>
                <w:lang w:val="en-US"/>
              </w:rPr>
              <w:t>kori</w:t>
            </w:r>
            <w:r w:rsidRPr="002E79CB">
              <w:rPr>
                <w:rFonts w:ascii="Arial" w:hAnsi="Arial" w:cs="Arial"/>
                <w:sz w:val="24"/>
                <w:szCs w:val="24"/>
              </w:rPr>
              <w:t>šć</w:t>
            </w:r>
            <w:proofErr w:type="spellStart"/>
            <w:r w:rsidRPr="002046B0">
              <w:rPr>
                <w:rFonts w:ascii="Arial" w:hAnsi="Arial" w:cs="Arial"/>
                <w:sz w:val="24"/>
                <w:szCs w:val="24"/>
                <w:lang w:val="en-US"/>
              </w:rPr>
              <w:t>enje</w:t>
            </w:r>
            <w:proofErr w:type="spellEnd"/>
            <w:r w:rsidRPr="002E79CB">
              <w:rPr>
                <w:rFonts w:ascii="Arial" w:hAnsi="Arial" w:cs="Arial"/>
                <w:sz w:val="24"/>
                <w:szCs w:val="24"/>
              </w:rPr>
              <w:t xml:space="preserve"> </w:t>
            </w:r>
            <w:r w:rsidRPr="002046B0">
              <w:rPr>
                <w:rFonts w:ascii="Arial" w:hAnsi="Arial" w:cs="Arial"/>
                <w:sz w:val="24"/>
                <w:szCs w:val="24"/>
                <w:lang w:val="en-US"/>
              </w:rPr>
              <w:t>za</w:t>
            </w:r>
            <w:r w:rsidRPr="002E79CB">
              <w:rPr>
                <w:rFonts w:ascii="Arial" w:hAnsi="Arial" w:cs="Arial"/>
                <w:sz w:val="24"/>
                <w:szCs w:val="24"/>
              </w:rPr>
              <w:t>š</w:t>
            </w:r>
            <w:proofErr w:type="spellStart"/>
            <w:r w:rsidRPr="002046B0">
              <w:rPr>
                <w:rFonts w:ascii="Arial" w:hAnsi="Arial" w:cs="Arial"/>
                <w:sz w:val="24"/>
                <w:szCs w:val="24"/>
                <w:lang w:val="en-US"/>
              </w:rPr>
              <w:t>ti</w:t>
            </w:r>
            <w:proofErr w:type="spellEnd"/>
            <w:r w:rsidRPr="002E79CB">
              <w:rPr>
                <w:rFonts w:ascii="Arial" w:hAnsi="Arial" w:cs="Arial"/>
                <w:sz w:val="24"/>
                <w:szCs w:val="24"/>
              </w:rPr>
              <w:t>ć</w:t>
            </w:r>
            <w:proofErr w:type="spellStart"/>
            <w:r w:rsidRPr="002046B0">
              <w:rPr>
                <w:rFonts w:ascii="Arial" w:hAnsi="Arial" w:cs="Arial"/>
                <w:sz w:val="24"/>
                <w:szCs w:val="24"/>
                <w:lang w:val="en-US"/>
              </w:rPr>
              <w:t>enih</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prirodnih</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dobara</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Pr="002E79CB">
              <w:rPr>
                <w:rFonts w:ascii="Arial" w:hAnsi="Arial" w:cs="Arial"/>
                <w:sz w:val="24"/>
                <w:szCs w:val="24"/>
              </w:rPr>
              <w:t>č</w:t>
            </w:r>
            <w:r w:rsidRPr="002046B0">
              <w:rPr>
                <w:rFonts w:ascii="Arial" w:hAnsi="Arial" w:cs="Arial"/>
                <w:sz w:val="24"/>
                <w:szCs w:val="24"/>
                <w:lang w:val="en-US"/>
              </w:rPr>
              <w:t>in</w:t>
            </w:r>
            <w:r w:rsidRPr="002E79CB">
              <w:rPr>
                <w:rFonts w:ascii="Arial" w:hAnsi="Arial" w:cs="Arial"/>
                <w:sz w:val="24"/>
                <w:szCs w:val="24"/>
              </w:rPr>
              <w:t xml:space="preserve"> </w:t>
            </w:r>
            <w:r w:rsidRPr="002046B0">
              <w:rPr>
                <w:rFonts w:ascii="Arial" w:hAnsi="Arial" w:cs="Arial"/>
                <w:sz w:val="24"/>
                <w:szCs w:val="24"/>
                <w:lang w:val="en-US"/>
              </w:rPr>
              <w:t>koji</w:t>
            </w:r>
            <w:r w:rsidRPr="002E79CB">
              <w:rPr>
                <w:rFonts w:ascii="Arial" w:hAnsi="Arial" w:cs="Arial"/>
                <w:sz w:val="24"/>
                <w:szCs w:val="24"/>
              </w:rPr>
              <w:t xml:space="preserve"> </w:t>
            </w:r>
            <w:proofErr w:type="spellStart"/>
            <w:r w:rsidRPr="002046B0">
              <w:rPr>
                <w:rFonts w:ascii="Arial" w:hAnsi="Arial" w:cs="Arial"/>
                <w:sz w:val="24"/>
                <w:szCs w:val="24"/>
                <w:lang w:val="en-US"/>
              </w:rPr>
              <w:t>prouzrokuje</w:t>
            </w:r>
            <w:proofErr w:type="spellEnd"/>
            <w:r w:rsidRPr="002E79CB">
              <w:rPr>
                <w:rFonts w:ascii="Arial" w:hAnsi="Arial" w:cs="Arial"/>
                <w:sz w:val="24"/>
                <w:szCs w:val="24"/>
              </w:rPr>
              <w:t xml:space="preserve">: </w:t>
            </w:r>
            <w:r w:rsidRPr="002046B0">
              <w:rPr>
                <w:rFonts w:ascii="Arial" w:hAnsi="Arial" w:cs="Arial"/>
                <w:sz w:val="24"/>
                <w:szCs w:val="24"/>
                <w:lang w:val="en-US"/>
              </w:rPr>
              <w:t>o</w:t>
            </w:r>
            <w:r w:rsidRPr="002E79CB">
              <w:rPr>
                <w:rFonts w:ascii="Arial" w:hAnsi="Arial" w:cs="Arial"/>
                <w:sz w:val="24"/>
                <w:szCs w:val="24"/>
              </w:rPr>
              <w:t>š</w:t>
            </w:r>
            <w:proofErr w:type="spellStart"/>
            <w:r w:rsidRPr="002046B0">
              <w:rPr>
                <w:rFonts w:ascii="Arial" w:hAnsi="Arial" w:cs="Arial"/>
                <w:sz w:val="24"/>
                <w:szCs w:val="24"/>
                <w:lang w:val="en-US"/>
              </w:rPr>
              <w:t>te</w:t>
            </w:r>
            <w:proofErr w:type="spellEnd"/>
            <w:r w:rsidRPr="002E79CB">
              <w:rPr>
                <w:rFonts w:ascii="Arial" w:hAnsi="Arial" w:cs="Arial"/>
                <w:sz w:val="24"/>
                <w:szCs w:val="24"/>
              </w:rPr>
              <w:t>ć</w:t>
            </w:r>
            <w:proofErr w:type="spellStart"/>
            <w:r w:rsidRPr="002046B0">
              <w:rPr>
                <w:rFonts w:ascii="Arial" w:hAnsi="Arial" w:cs="Arial"/>
                <w:sz w:val="24"/>
                <w:szCs w:val="24"/>
                <w:lang w:val="en-US"/>
              </w:rPr>
              <w:t>enje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zemlji</w:t>
            </w:r>
            <w:proofErr w:type="spellEnd"/>
            <w:r w:rsidRPr="002E79CB">
              <w:rPr>
                <w:rFonts w:ascii="Arial" w:hAnsi="Arial" w:cs="Arial"/>
                <w:sz w:val="24"/>
                <w:szCs w:val="24"/>
              </w:rPr>
              <w:t>š</w:t>
            </w:r>
            <w:r w:rsidRPr="002046B0">
              <w:rPr>
                <w:rFonts w:ascii="Arial" w:hAnsi="Arial" w:cs="Arial"/>
                <w:sz w:val="24"/>
                <w:szCs w:val="24"/>
                <w:lang w:val="en-US"/>
              </w:rPr>
              <w:t>ta</w:t>
            </w:r>
            <w:r w:rsidRPr="002E79CB">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gubitak</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njegove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prirodne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plodnosti</w:t>
            </w:r>
            <w:proofErr w:type="spellEnd"/>
            <w:r w:rsidRPr="002E79CB">
              <w:rPr>
                <w:rFonts w:ascii="Arial" w:hAnsi="Arial" w:cs="Arial"/>
                <w:sz w:val="24"/>
                <w:szCs w:val="24"/>
              </w:rPr>
              <w:t xml:space="preserve">; </w:t>
            </w:r>
            <w:r w:rsidRPr="002046B0">
              <w:rPr>
                <w:rFonts w:ascii="Arial" w:hAnsi="Arial" w:cs="Arial"/>
                <w:sz w:val="24"/>
                <w:szCs w:val="24"/>
                <w:lang w:val="en-US"/>
              </w:rPr>
              <w:t>o</w:t>
            </w:r>
            <w:r w:rsidRPr="002E79CB">
              <w:rPr>
                <w:rFonts w:ascii="Arial" w:hAnsi="Arial" w:cs="Arial"/>
                <w:sz w:val="24"/>
                <w:szCs w:val="24"/>
              </w:rPr>
              <w:t>š</w:t>
            </w:r>
            <w:proofErr w:type="spellStart"/>
            <w:r w:rsidRPr="002046B0">
              <w:rPr>
                <w:rFonts w:ascii="Arial" w:hAnsi="Arial" w:cs="Arial"/>
                <w:sz w:val="24"/>
                <w:szCs w:val="24"/>
                <w:lang w:val="en-US"/>
              </w:rPr>
              <w:t>te</w:t>
            </w:r>
            <w:proofErr w:type="spellEnd"/>
            <w:r w:rsidRPr="002E79CB">
              <w:rPr>
                <w:rFonts w:ascii="Arial" w:hAnsi="Arial" w:cs="Arial"/>
                <w:sz w:val="24"/>
                <w:szCs w:val="24"/>
              </w:rPr>
              <w:t>ć</w:t>
            </w:r>
            <w:proofErr w:type="spellStart"/>
            <w:r w:rsidRPr="002046B0">
              <w:rPr>
                <w:rFonts w:ascii="Arial" w:hAnsi="Arial" w:cs="Arial"/>
                <w:sz w:val="24"/>
                <w:szCs w:val="24"/>
                <w:lang w:val="en-US"/>
              </w:rPr>
              <w:t>enje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povr</w:t>
            </w:r>
            <w:proofErr w:type="spellEnd"/>
            <w:r w:rsidRPr="002E79CB">
              <w:rPr>
                <w:rFonts w:ascii="Arial" w:hAnsi="Arial" w:cs="Arial"/>
                <w:sz w:val="24"/>
                <w:szCs w:val="24"/>
              </w:rPr>
              <w:t>š</w:t>
            </w:r>
            <w:proofErr w:type="spellStart"/>
            <w:r w:rsidRPr="002046B0">
              <w:rPr>
                <w:rFonts w:ascii="Arial" w:hAnsi="Arial" w:cs="Arial"/>
                <w:sz w:val="24"/>
                <w:szCs w:val="24"/>
                <w:lang w:val="en-US"/>
              </w:rPr>
              <w:t>inskih</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podzemnih</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geolo</w:t>
            </w:r>
            <w:proofErr w:type="spellEnd"/>
            <w:r w:rsidRPr="002E79CB">
              <w:rPr>
                <w:rFonts w:ascii="Arial" w:hAnsi="Arial" w:cs="Arial"/>
                <w:sz w:val="24"/>
                <w:szCs w:val="24"/>
              </w:rPr>
              <w:t>š</w:t>
            </w:r>
            <w:proofErr w:type="spellStart"/>
            <w:r w:rsidRPr="002046B0">
              <w:rPr>
                <w:rFonts w:ascii="Arial" w:hAnsi="Arial" w:cs="Arial"/>
                <w:sz w:val="24"/>
                <w:szCs w:val="24"/>
                <w:lang w:val="en-US"/>
              </w:rPr>
              <w:t>kih</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hidrogeolo</w:t>
            </w:r>
            <w:proofErr w:type="spellEnd"/>
            <w:r w:rsidRPr="002E79CB">
              <w:rPr>
                <w:rFonts w:ascii="Arial" w:hAnsi="Arial" w:cs="Arial"/>
                <w:sz w:val="24"/>
                <w:szCs w:val="24"/>
              </w:rPr>
              <w:t>š</w:t>
            </w:r>
            <w:proofErr w:type="spellStart"/>
            <w:r w:rsidRPr="002046B0">
              <w:rPr>
                <w:rFonts w:ascii="Arial" w:hAnsi="Arial" w:cs="Arial"/>
                <w:sz w:val="24"/>
                <w:szCs w:val="24"/>
                <w:lang w:val="en-US"/>
              </w:rPr>
              <w:t>kih</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geomorfolo</w:t>
            </w:r>
            <w:proofErr w:type="spellEnd"/>
            <w:r w:rsidRPr="002E79CB">
              <w:rPr>
                <w:rFonts w:ascii="Arial" w:hAnsi="Arial" w:cs="Arial"/>
                <w:sz w:val="24"/>
                <w:szCs w:val="24"/>
              </w:rPr>
              <w:t>š</w:t>
            </w:r>
            <w:proofErr w:type="spellStart"/>
            <w:r w:rsidRPr="002046B0">
              <w:rPr>
                <w:rFonts w:ascii="Arial" w:hAnsi="Arial" w:cs="Arial"/>
                <w:sz w:val="24"/>
                <w:szCs w:val="24"/>
                <w:lang w:val="en-US"/>
              </w:rPr>
              <w:t>kih</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vrijednosti</w:t>
            </w:r>
            <w:proofErr w:type="spellEnd"/>
            <w:r w:rsidRPr="002E79CB">
              <w:rPr>
                <w:rFonts w:ascii="Arial" w:hAnsi="Arial" w:cs="Arial"/>
                <w:sz w:val="24"/>
                <w:szCs w:val="24"/>
              </w:rPr>
              <w:t xml:space="preserve">; </w:t>
            </w:r>
            <w:r w:rsidRPr="002046B0">
              <w:rPr>
                <w:rFonts w:ascii="Arial" w:hAnsi="Arial" w:cs="Arial"/>
                <w:sz w:val="24"/>
                <w:szCs w:val="24"/>
                <w:lang w:val="en-US"/>
              </w:rPr>
              <w:t>o</w:t>
            </w:r>
            <w:r w:rsidRPr="002E79CB">
              <w:rPr>
                <w:rFonts w:ascii="Arial" w:hAnsi="Arial" w:cs="Arial"/>
                <w:sz w:val="24"/>
                <w:szCs w:val="24"/>
              </w:rPr>
              <w:t>š</w:t>
            </w:r>
            <w:proofErr w:type="spellStart"/>
            <w:r w:rsidRPr="002046B0">
              <w:rPr>
                <w:rFonts w:ascii="Arial" w:hAnsi="Arial" w:cs="Arial"/>
                <w:sz w:val="24"/>
                <w:szCs w:val="24"/>
                <w:lang w:val="en-US"/>
              </w:rPr>
              <w:t>te</w:t>
            </w:r>
            <w:proofErr w:type="spellEnd"/>
            <w:r w:rsidRPr="002E79CB">
              <w:rPr>
                <w:rFonts w:ascii="Arial" w:hAnsi="Arial" w:cs="Arial"/>
                <w:sz w:val="24"/>
                <w:szCs w:val="24"/>
              </w:rPr>
              <w:t>ć</w:t>
            </w:r>
            <w:proofErr w:type="spellStart"/>
            <w:r w:rsidRPr="002046B0">
              <w:rPr>
                <w:rFonts w:ascii="Arial" w:hAnsi="Arial" w:cs="Arial"/>
                <w:sz w:val="24"/>
                <w:szCs w:val="24"/>
                <w:lang w:val="en-US"/>
              </w:rPr>
              <w:t>enje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morskih</w:t>
            </w:r>
            <w:proofErr w:type="spellEnd"/>
            <w:r w:rsidRPr="002E79CB">
              <w:rPr>
                <w:rFonts w:ascii="Arial" w:hAnsi="Arial" w:cs="Arial"/>
                <w:sz w:val="24"/>
                <w:szCs w:val="24"/>
              </w:rPr>
              <w:t xml:space="preserve"> </w:t>
            </w:r>
            <w:r w:rsidRPr="002046B0">
              <w:rPr>
                <w:rFonts w:ascii="Arial" w:hAnsi="Arial" w:cs="Arial"/>
                <w:sz w:val="24"/>
                <w:szCs w:val="24"/>
                <w:lang w:val="en-US"/>
              </w:rPr>
              <w:t>za</w:t>
            </w:r>
            <w:r w:rsidRPr="002E79CB">
              <w:rPr>
                <w:rFonts w:ascii="Arial" w:hAnsi="Arial" w:cs="Arial"/>
                <w:sz w:val="24"/>
                <w:szCs w:val="24"/>
              </w:rPr>
              <w:t>š</w:t>
            </w:r>
            <w:proofErr w:type="spellStart"/>
            <w:r w:rsidRPr="002046B0">
              <w:rPr>
                <w:rFonts w:ascii="Arial" w:hAnsi="Arial" w:cs="Arial"/>
                <w:sz w:val="24"/>
                <w:szCs w:val="24"/>
                <w:lang w:val="en-US"/>
              </w:rPr>
              <w:t>ti</w:t>
            </w:r>
            <w:proofErr w:type="spellEnd"/>
            <w:r w:rsidRPr="002E79CB">
              <w:rPr>
                <w:rFonts w:ascii="Arial" w:hAnsi="Arial" w:cs="Arial"/>
                <w:sz w:val="24"/>
                <w:szCs w:val="24"/>
              </w:rPr>
              <w:t>ć</w:t>
            </w:r>
            <w:proofErr w:type="spellStart"/>
            <w:r w:rsidRPr="002046B0">
              <w:rPr>
                <w:rFonts w:ascii="Arial" w:hAnsi="Arial" w:cs="Arial"/>
                <w:sz w:val="24"/>
                <w:szCs w:val="24"/>
                <w:lang w:val="en-US"/>
              </w:rPr>
              <w:t>enih</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podru</w:t>
            </w:r>
            <w:proofErr w:type="spellEnd"/>
            <w:r w:rsidRPr="002E79CB">
              <w:rPr>
                <w:rFonts w:ascii="Arial" w:hAnsi="Arial" w:cs="Arial"/>
                <w:sz w:val="24"/>
                <w:szCs w:val="24"/>
              </w:rPr>
              <w:t>č</w:t>
            </w:r>
            <w:r w:rsidRPr="002046B0">
              <w:rPr>
                <w:rFonts w:ascii="Arial" w:hAnsi="Arial" w:cs="Arial"/>
                <w:sz w:val="24"/>
                <w:szCs w:val="24"/>
                <w:lang w:val="en-US"/>
              </w:rPr>
              <w:t>ja</w:t>
            </w:r>
            <w:r w:rsidRPr="002E79CB">
              <w:rPr>
                <w:rFonts w:ascii="Arial" w:hAnsi="Arial" w:cs="Arial"/>
                <w:sz w:val="24"/>
                <w:szCs w:val="24"/>
              </w:rPr>
              <w:t xml:space="preserve">; </w:t>
            </w:r>
            <w:proofErr w:type="spellStart"/>
            <w:r w:rsidRPr="002046B0">
              <w:rPr>
                <w:rFonts w:ascii="Arial" w:hAnsi="Arial" w:cs="Arial"/>
                <w:sz w:val="24"/>
                <w:szCs w:val="24"/>
                <w:lang w:val="en-US"/>
              </w:rPr>
              <w:t>osiroma</w:t>
            </w:r>
            <w:proofErr w:type="spellEnd"/>
            <w:r w:rsidRPr="002E79CB">
              <w:rPr>
                <w:rFonts w:ascii="Arial" w:hAnsi="Arial" w:cs="Arial"/>
                <w:sz w:val="24"/>
                <w:szCs w:val="24"/>
              </w:rPr>
              <w:t>š</w:t>
            </w:r>
            <w:proofErr w:type="spellStart"/>
            <w:r w:rsidRPr="002046B0">
              <w:rPr>
                <w:rFonts w:ascii="Arial" w:hAnsi="Arial" w:cs="Arial"/>
                <w:sz w:val="24"/>
                <w:szCs w:val="24"/>
                <w:lang w:val="en-US"/>
              </w:rPr>
              <w:t>enje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prirodnog</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fonda</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divljih</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vrsta</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biljaka</w:t>
            </w:r>
            <w:proofErr w:type="spellEnd"/>
            <w:r w:rsidRPr="002E79CB">
              <w:rPr>
                <w:rFonts w:ascii="Arial" w:hAnsi="Arial" w:cs="Arial"/>
                <w:sz w:val="24"/>
                <w:szCs w:val="24"/>
              </w:rPr>
              <w:t>, ž</w:t>
            </w:r>
            <w:proofErr w:type="spellStart"/>
            <w:r w:rsidRPr="002046B0">
              <w:rPr>
                <w:rFonts w:ascii="Arial" w:hAnsi="Arial" w:cs="Arial"/>
                <w:sz w:val="24"/>
                <w:szCs w:val="24"/>
                <w:lang w:val="en-US"/>
              </w:rPr>
              <w:t>ivotinja</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gljiva</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smanjenje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biolo</w:t>
            </w:r>
            <w:proofErr w:type="spellEnd"/>
            <w:r w:rsidRPr="002E79CB">
              <w:rPr>
                <w:rFonts w:ascii="Arial" w:hAnsi="Arial" w:cs="Arial"/>
                <w:sz w:val="24"/>
                <w:szCs w:val="24"/>
              </w:rPr>
              <w:t>š</w:t>
            </w:r>
            <w:proofErr w:type="spellStart"/>
            <w:r w:rsidRPr="002046B0">
              <w:rPr>
                <w:rFonts w:ascii="Arial" w:hAnsi="Arial" w:cs="Arial"/>
                <w:sz w:val="24"/>
                <w:szCs w:val="24"/>
                <w:lang w:val="en-US"/>
              </w:rPr>
              <w:t>ke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predione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raznovrsnosti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zaga</w:t>
            </w:r>
            <w:proofErr w:type="spellEnd"/>
            <w:r w:rsidRPr="002E79CB">
              <w:rPr>
                <w:rFonts w:ascii="Arial" w:hAnsi="Arial" w:cs="Arial"/>
                <w:sz w:val="24"/>
                <w:szCs w:val="24"/>
              </w:rPr>
              <w:t>đ</w:t>
            </w:r>
            <w:proofErr w:type="spellStart"/>
            <w:r w:rsidRPr="002046B0">
              <w:rPr>
                <w:rFonts w:ascii="Arial" w:hAnsi="Arial" w:cs="Arial"/>
                <w:sz w:val="24"/>
                <w:szCs w:val="24"/>
                <w:lang w:val="en-US"/>
              </w:rPr>
              <w:t>ivanje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ugro</w:t>
            </w:r>
            <w:proofErr w:type="spellEnd"/>
            <w:r w:rsidRPr="002E79CB">
              <w:rPr>
                <w:rFonts w:ascii="Arial" w:hAnsi="Arial" w:cs="Arial"/>
                <w:sz w:val="24"/>
                <w:szCs w:val="24"/>
              </w:rPr>
              <w:t>ž</w:t>
            </w:r>
            <w:proofErr w:type="spellStart"/>
            <w:r w:rsidRPr="002046B0">
              <w:rPr>
                <w:rFonts w:ascii="Arial" w:hAnsi="Arial" w:cs="Arial"/>
                <w:sz w:val="24"/>
                <w:szCs w:val="24"/>
                <w:lang w:val="en-US"/>
              </w:rPr>
              <w:t>avanje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podzemnih</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povr</w:t>
            </w:r>
            <w:proofErr w:type="spellEnd"/>
            <w:r w:rsidRPr="002E79CB">
              <w:rPr>
                <w:rFonts w:ascii="Arial" w:hAnsi="Arial" w:cs="Arial"/>
                <w:sz w:val="24"/>
                <w:szCs w:val="24"/>
              </w:rPr>
              <w:t>š</w:t>
            </w:r>
            <w:proofErr w:type="spellStart"/>
            <w:r w:rsidRPr="002046B0">
              <w:rPr>
                <w:rFonts w:ascii="Arial" w:hAnsi="Arial" w:cs="Arial"/>
                <w:sz w:val="24"/>
                <w:szCs w:val="24"/>
                <w:lang w:val="en-US"/>
              </w:rPr>
              <w:t>inskih</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voda</w:t>
            </w:r>
            <w:proofErr w:type="spellEnd"/>
            <w:r w:rsidRPr="002E79CB">
              <w:rPr>
                <w:rFonts w:ascii="Arial" w:hAnsi="Arial" w:cs="Arial"/>
                <w:sz w:val="24"/>
                <w:szCs w:val="24"/>
              </w:rPr>
              <w:t xml:space="preserve">." </w:t>
            </w:r>
            <w:r w:rsidRPr="002046B0">
              <w:rPr>
                <w:rFonts w:ascii="Arial" w:hAnsi="Arial" w:cs="Arial"/>
                <w:sz w:val="24"/>
                <w:szCs w:val="24"/>
                <w:lang w:val="en-US"/>
              </w:rPr>
              <w:t>Na</w:t>
            </w:r>
            <w:r w:rsidRPr="002E79CB">
              <w:rPr>
                <w:rFonts w:ascii="Arial" w:hAnsi="Arial" w:cs="Arial"/>
                <w:sz w:val="24"/>
                <w:szCs w:val="24"/>
              </w:rPr>
              <w:t xml:space="preserve"> </w:t>
            </w:r>
            <w:proofErr w:type="spellStart"/>
            <w:r w:rsidRPr="002046B0">
              <w:rPr>
                <w:rFonts w:ascii="Arial" w:hAnsi="Arial" w:cs="Arial"/>
                <w:sz w:val="24"/>
                <w:szCs w:val="24"/>
                <w:lang w:val="en-US"/>
              </w:rPr>
              <w:t>samom</w:t>
            </w:r>
            <w:proofErr w:type="spellEnd"/>
            <w:r w:rsidRPr="002E79CB">
              <w:rPr>
                <w:rFonts w:ascii="Arial" w:hAnsi="Arial" w:cs="Arial"/>
                <w:sz w:val="24"/>
                <w:szCs w:val="24"/>
              </w:rPr>
              <w:t xml:space="preserve"> </w:t>
            </w:r>
            <w:r w:rsidRPr="002046B0">
              <w:rPr>
                <w:rFonts w:ascii="Arial" w:hAnsi="Arial" w:cs="Arial"/>
                <w:sz w:val="24"/>
                <w:szCs w:val="24"/>
                <w:lang w:val="en-US"/>
              </w:rPr>
              <w:t>za</w:t>
            </w:r>
            <w:r w:rsidRPr="002E79CB">
              <w:rPr>
                <w:rFonts w:ascii="Arial" w:hAnsi="Arial" w:cs="Arial"/>
                <w:sz w:val="24"/>
                <w:szCs w:val="24"/>
              </w:rPr>
              <w:t>š</w:t>
            </w:r>
            <w:proofErr w:type="spellStart"/>
            <w:r w:rsidRPr="002046B0">
              <w:rPr>
                <w:rFonts w:ascii="Arial" w:hAnsi="Arial" w:cs="Arial"/>
                <w:sz w:val="24"/>
                <w:szCs w:val="24"/>
                <w:lang w:val="en-US"/>
              </w:rPr>
              <w:t>ti</w:t>
            </w:r>
            <w:proofErr w:type="spellEnd"/>
            <w:r w:rsidRPr="002E79CB">
              <w:rPr>
                <w:rFonts w:ascii="Arial" w:hAnsi="Arial" w:cs="Arial"/>
                <w:sz w:val="24"/>
                <w:szCs w:val="24"/>
              </w:rPr>
              <w:t>ć</w:t>
            </w:r>
            <w:proofErr w:type="spellStart"/>
            <w:r w:rsidRPr="002046B0">
              <w:rPr>
                <w:rFonts w:ascii="Arial" w:hAnsi="Arial" w:cs="Arial"/>
                <w:sz w:val="24"/>
                <w:szCs w:val="24"/>
                <w:lang w:val="en-US"/>
              </w:rPr>
              <w:t>enom</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prirodnom</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dobru</w:t>
            </w:r>
            <w:proofErr w:type="spellEnd"/>
            <w:r w:rsidRPr="002E79CB">
              <w:rPr>
                <w:rFonts w:ascii="Arial" w:hAnsi="Arial" w:cs="Arial"/>
                <w:sz w:val="24"/>
                <w:szCs w:val="24"/>
              </w:rPr>
              <w:t xml:space="preserve"> </w:t>
            </w:r>
            <w:r w:rsidRPr="002046B0">
              <w:rPr>
                <w:rFonts w:ascii="Arial" w:hAnsi="Arial" w:cs="Arial"/>
                <w:sz w:val="24"/>
                <w:szCs w:val="24"/>
                <w:lang w:val="en-US"/>
              </w:rPr>
              <w:t>se</w:t>
            </w:r>
            <w:r w:rsidRPr="002E79CB">
              <w:rPr>
                <w:rFonts w:ascii="Arial" w:hAnsi="Arial" w:cs="Arial"/>
                <w:sz w:val="24"/>
                <w:szCs w:val="24"/>
              </w:rPr>
              <w:t xml:space="preserve"> </w:t>
            </w:r>
            <w:r w:rsidRPr="002046B0">
              <w:rPr>
                <w:rFonts w:ascii="Arial" w:hAnsi="Arial" w:cs="Arial"/>
                <w:sz w:val="24"/>
                <w:szCs w:val="24"/>
                <w:lang w:val="en-US"/>
              </w:rPr>
              <w:t>ne</w:t>
            </w:r>
            <w:r w:rsidRPr="002E79CB">
              <w:rPr>
                <w:rFonts w:ascii="Arial" w:hAnsi="Arial" w:cs="Arial"/>
                <w:sz w:val="24"/>
                <w:szCs w:val="24"/>
              </w:rPr>
              <w:t xml:space="preserve"> </w:t>
            </w:r>
            <w:proofErr w:type="spellStart"/>
            <w:r w:rsidRPr="002046B0">
              <w:rPr>
                <w:rFonts w:ascii="Arial" w:hAnsi="Arial" w:cs="Arial"/>
                <w:sz w:val="24"/>
                <w:szCs w:val="24"/>
                <w:lang w:val="en-US"/>
              </w:rPr>
              <w:t>mogu</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postavljati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objekti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trajnog</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karaktera</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izvoditi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radovi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betoniranja</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eksploatacije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pijeska</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uklanjanja</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vegetacije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izmjene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obalne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linije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i</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strukturnog</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remodeliranja</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pje</w:t>
            </w:r>
            <w:proofErr w:type="spellEnd"/>
            <w:r w:rsidRPr="002E79CB">
              <w:rPr>
                <w:rFonts w:ascii="Arial" w:hAnsi="Arial" w:cs="Arial"/>
                <w:sz w:val="24"/>
                <w:szCs w:val="24"/>
              </w:rPr>
              <w:t>šč</w:t>
            </w:r>
            <w:proofErr w:type="spellStart"/>
            <w:r w:rsidRPr="002046B0">
              <w:rPr>
                <w:rFonts w:ascii="Arial" w:hAnsi="Arial" w:cs="Arial"/>
                <w:sz w:val="24"/>
                <w:szCs w:val="24"/>
                <w:lang w:val="en-US"/>
              </w:rPr>
              <w:t>ane</w:t>
            </w:r>
            <w:proofErr w:type="spellEnd"/>
            <w:r w:rsidRPr="002E79CB">
              <w:rPr>
                <w:rFonts w:ascii="Arial" w:hAnsi="Arial" w:cs="Arial"/>
                <w:sz w:val="24"/>
                <w:szCs w:val="24"/>
              </w:rPr>
              <w:t xml:space="preserve"> </w:t>
            </w:r>
            <w:proofErr w:type="spellStart"/>
            <w:r w:rsidRPr="002046B0">
              <w:rPr>
                <w:rFonts w:ascii="Arial" w:hAnsi="Arial" w:cs="Arial"/>
                <w:sz w:val="24"/>
                <w:szCs w:val="24"/>
                <w:lang w:val="en-US"/>
              </w:rPr>
              <w:t>pla</w:t>
            </w:r>
            <w:proofErr w:type="spellEnd"/>
            <w:r w:rsidRPr="002E79CB">
              <w:rPr>
                <w:rFonts w:ascii="Arial" w:hAnsi="Arial" w:cs="Arial"/>
                <w:sz w:val="24"/>
                <w:szCs w:val="24"/>
              </w:rPr>
              <w:t>ž</w:t>
            </w:r>
            <w:r w:rsidRPr="002046B0">
              <w:rPr>
                <w:rFonts w:ascii="Arial" w:hAnsi="Arial" w:cs="Arial"/>
                <w:sz w:val="24"/>
                <w:szCs w:val="24"/>
                <w:lang w:val="en-US"/>
              </w:rPr>
              <w:t>e</w:t>
            </w:r>
            <w:r w:rsidRPr="002E79CB">
              <w:rPr>
                <w:rFonts w:ascii="Arial" w:hAnsi="Arial" w:cs="Arial"/>
                <w:sz w:val="24"/>
                <w:szCs w:val="24"/>
              </w:rPr>
              <w:t xml:space="preserve">. </w:t>
            </w:r>
            <w:r w:rsidRPr="00913F8F">
              <w:rPr>
                <w:rFonts w:ascii="Arial" w:hAnsi="Arial" w:cs="Arial"/>
                <w:sz w:val="24"/>
                <w:szCs w:val="24"/>
                <w:lang w:val="pl-PL"/>
              </w:rPr>
              <w:t>Izuzetak</w:t>
            </w:r>
            <w:r w:rsidRPr="002E79CB">
              <w:rPr>
                <w:rFonts w:ascii="Arial" w:hAnsi="Arial" w:cs="Arial"/>
                <w:sz w:val="24"/>
                <w:szCs w:val="24"/>
              </w:rPr>
              <w:t xml:space="preserve"> </w:t>
            </w:r>
            <w:r w:rsidRPr="00913F8F">
              <w:rPr>
                <w:rFonts w:ascii="Arial" w:hAnsi="Arial" w:cs="Arial"/>
                <w:sz w:val="24"/>
                <w:szCs w:val="24"/>
                <w:lang w:val="pl-PL"/>
              </w:rPr>
              <w:t>predstavljaju</w:t>
            </w:r>
            <w:r w:rsidRPr="002E79CB">
              <w:rPr>
                <w:rFonts w:ascii="Arial" w:hAnsi="Arial" w:cs="Arial"/>
                <w:sz w:val="24"/>
                <w:szCs w:val="24"/>
              </w:rPr>
              <w:t xml:space="preserve"> </w:t>
            </w:r>
            <w:r w:rsidRPr="00913F8F">
              <w:rPr>
                <w:rFonts w:ascii="Arial" w:hAnsi="Arial" w:cs="Arial"/>
                <w:sz w:val="24"/>
                <w:szCs w:val="24"/>
                <w:lang w:val="pl-PL"/>
              </w:rPr>
              <w:t>intervencije</w:t>
            </w:r>
            <w:r w:rsidRPr="002E79CB">
              <w:rPr>
                <w:rFonts w:ascii="Arial" w:hAnsi="Arial" w:cs="Arial"/>
                <w:sz w:val="24"/>
                <w:szCs w:val="24"/>
              </w:rPr>
              <w:t xml:space="preserve"> </w:t>
            </w:r>
            <w:r w:rsidRPr="00913F8F">
              <w:rPr>
                <w:rFonts w:ascii="Arial" w:hAnsi="Arial" w:cs="Arial"/>
                <w:sz w:val="24"/>
                <w:szCs w:val="24"/>
                <w:lang w:val="pl-PL"/>
              </w:rPr>
              <w:t>izgradnje</w:t>
            </w:r>
            <w:r w:rsidRPr="002E79CB">
              <w:rPr>
                <w:rFonts w:ascii="Arial" w:hAnsi="Arial" w:cs="Arial"/>
                <w:sz w:val="24"/>
                <w:szCs w:val="24"/>
              </w:rPr>
              <w:t xml:space="preserve"> </w:t>
            </w:r>
            <w:r w:rsidRPr="00913F8F">
              <w:rPr>
                <w:rFonts w:ascii="Arial" w:hAnsi="Arial" w:cs="Arial"/>
                <w:sz w:val="24"/>
                <w:szCs w:val="24"/>
                <w:lang w:val="pl-PL"/>
              </w:rPr>
              <w:t>rampi</w:t>
            </w:r>
          </w:p>
          <w:p w14:paraId="5860A056" w14:textId="77777777" w:rsidR="00927CD0" w:rsidRPr="002E79CB" w:rsidRDefault="00927CD0" w:rsidP="00927CD0">
            <w:pPr>
              <w:tabs>
                <w:tab w:val="left" w:pos="6915"/>
              </w:tabs>
              <w:jc w:val="both"/>
              <w:rPr>
                <w:rFonts w:ascii="Arial" w:hAnsi="Arial" w:cs="Arial"/>
                <w:sz w:val="24"/>
                <w:szCs w:val="24"/>
              </w:rPr>
            </w:pPr>
            <w:r w:rsidRPr="00EA6C79">
              <w:rPr>
                <w:rFonts w:ascii="Arial" w:hAnsi="Arial" w:cs="Arial"/>
                <w:sz w:val="24"/>
                <w:szCs w:val="24"/>
                <w:lang w:val="it-IT"/>
              </w:rPr>
              <w:t>za</w:t>
            </w:r>
            <w:r w:rsidRPr="002E79CB">
              <w:rPr>
                <w:rFonts w:ascii="Arial" w:hAnsi="Arial" w:cs="Arial"/>
                <w:sz w:val="24"/>
                <w:szCs w:val="24"/>
              </w:rPr>
              <w:t xml:space="preserve"> </w:t>
            </w:r>
            <w:r w:rsidRPr="00EA6C79">
              <w:rPr>
                <w:rFonts w:ascii="Arial" w:hAnsi="Arial" w:cs="Arial"/>
                <w:sz w:val="24"/>
                <w:szCs w:val="24"/>
                <w:lang w:val="it-IT"/>
              </w:rPr>
              <w:t>pristup</w:t>
            </w:r>
            <w:r w:rsidRPr="002E79CB">
              <w:rPr>
                <w:rFonts w:ascii="Arial" w:hAnsi="Arial" w:cs="Arial"/>
                <w:sz w:val="24"/>
                <w:szCs w:val="24"/>
              </w:rPr>
              <w:t xml:space="preserve"> </w:t>
            </w:r>
            <w:r w:rsidRPr="00EA6C79">
              <w:rPr>
                <w:rFonts w:ascii="Arial" w:hAnsi="Arial" w:cs="Arial"/>
                <w:sz w:val="24"/>
                <w:szCs w:val="24"/>
                <w:lang w:val="it-IT"/>
              </w:rPr>
              <w:t>lica</w:t>
            </w:r>
            <w:r w:rsidRPr="002E79CB">
              <w:rPr>
                <w:rFonts w:ascii="Arial" w:hAnsi="Arial" w:cs="Arial"/>
                <w:sz w:val="24"/>
                <w:szCs w:val="24"/>
              </w:rPr>
              <w:t xml:space="preserve"> </w:t>
            </w:r>
            <w:r w:rsidRPr="00EA6C79">
              <w:rPr>
                <w:rFonts w:ascii="Arial" w:hAnsi="Arial" w:cs="Arial"/>
                <w:sz w:val="24"/>
                <w:szCs w:val="24"/>
                <w:lang w:val="it-IT"/>
              </w:rPr>
              <w:t>sa</w:t>
            </w:r>
            <w:r w:rsidRPr="002E79CB">
              <w:rPr>
                <w:rFonts w:ascii="Arial" w:hAnsi="Arial" w:cs="Arial"/>
                <w:sz w:val="24"/>
                <w:szCs w:val="24"/>
              </w:rPr>
              <w:t xml:space="preserve"> </w:t>
            </w:r>
            <w:r w:rsidRPr="00EA6C79">
              <w:rPr>
                <w:rFonts w:ascii="Arial" w:hAnsi="Arial" w:cs="Arial"/>
                <w:sz w:val="24"/>
                <w:szCs w:val="24"/>
                <w:lang w:val="it-IT"/>
              </w:rPr>
              <w:t>invaliditetom</w:t>
            </w:r>
            <w:r w:rsidRPr="002E79CB">
              <w:rPr>
                <w:rFonts w:ascii="Arial" w:hAnsi="Arial" w:cs="Arial"/>
                <w:sz w:val="24"/>
                <w:szCs w:val="24"/>
              </w:rPr>
              <w:t xml:space="preserve"> </w:t>
            </w:r>
            <w:r w:rsidRPr="00EA6C79">
              <w:rPr>
                <w:rFonts w:ascii="Arial" w:hAnsi="Arial" w:cs="Arial"/>
                <w:sz w:val="24"/>
                <w:szCs w:val="24"/>
                <w:lang w:val="it-IT"/>
              </w:rPr>
              <w:t>na</w:t>
            </w:r>
            <w:r w:rsidRPr="002E79CB">
              <w:rPr>
                <w:rFonts w:ascii="Arial" w:hAnsi="Arial" w:cs="Arial"/>
                <w:sz w:val="24"/>
                <w:szCs w:val="24"/>
              </w:rPr>
              <w:t xml:space="preserve"> </w:t>
            </w:r>
            <w:r w:rsidRPr="00EA6C79">
              <w:rPr>
                <w:rFonts w:ascii="Arial" w:hAnsi="Arial" w:cs="Arial"/>
                <w:sz w:val="24"/>
                <w:szCs w:val="24"/>
                <w:lang w:val="it-IT"/>
              </w:rPr>
              <w:t>planom</w:t>
            </w:r>
            <w:r w:rsidRPr="002E79CB">
              <w:rPr>
                <w:rFonts w:ascii="Arial" w:hAnsi="Arial" w:cs="Arial"/>
                <w:sz w:val="24"/>
                <w:szCs w:val="24"/>
              </w:rPr>
              <w:t xml:space="preserve"> </w:t>
            </w:r>
            <w:r w:rsidRPr="00EA6C79">
              <w:rPr>
                <w:rFonts w:ascii="Arial" w:hAnsi="Arial" w:cs="Arial"/>
                <w:sz w:val="24"/>
                <w:szCs w:val="24"/>
                <w:lang w:val="it-IT"/>
              </w:rPr>
              <w:t>definisanim</w:t>
            </w:r>
            <w:r w:rsidRPr="002E79CB">
              <w:rPr>
                <w:rFonts w:ascii="Arial" w:hAnsi="Arial" w:cs="Arial"/>
                <w:sz w:val="24"/>
                <w:szCs w:val="24"/>
              </w:rPr>
              <w:t xml:space="preserve"> </w:t>
            </w:r>
            <w:r w:rsidRPr="00EA6C79">
              <w:rPr>
                <w:rFonts w:ascii="Arial" w:hAnsi="Arial" w:cs="Arial"/>
                <w:sz w:val="24"/>
                <w:szCs w:val="24"/>
                <w:lang w:val="it-IT"/>
              </w:rPr>
              <w:t>lokacijama</w:t>
            </w:r>
            <w:r w:rsidRPr="002E79CB">
              <w:rPr>
                <w:rFonts w:ascii="Arial" w:hAnsi="Arial" w:cs="Arial"/>
                <w:sz w:val="24"/>
                <w:szCs w:val="24"/>
              </w:rPr>
              <w:t>.</w:t>
            </w:r>
          </w:p>
          <w:p w14:paraId="62B11B0E" w14:textId="77777777" w:rsidR="00927CD0" w:rsidRPr="00FE1682" w:rsidRDefault="00927CD0" w:rsidP="00927CD0">
            <w:pPr>
              <w:tabs>
                <w:tab w:val="left" w:pos="6915"/>
              </w:tabs>
              <w:jc w:val="both"/>
              <w:rPr>
                <w:rFonts w:ascii="Arial" w:hAnsi="Arial" w:cs="Arial"/>
                <w:sz w:val="24"/>
                <w:szCs w:val="24"/>
              </w:rPr>
            </w:pPr>
            <w:r w:rsidRPr="00FE1682">
              <w:rPr>
                <w:rFonts w:ascii="Arial" w:hAnsi="Arial" w:cs="Arial"/>
                <w:sz w:val="24"/>
                <w:szCs w:val="24"/>
              </w:rPr>
              <w:t xml:space="preserve">Procjene uticaja na baštinu, koja uključuje studiju vizuelnog uticaja Definisanje jasnih i konzistentnih protokola i kriterijuma za realizaciju i postavljanje, gradnju ili uređenja takvih sadržaja tako da budu funkcionalno kompatibilna sa lokacijom i da ne remete atribute izuzetne univerzalne vrijednosti. </w:t>
            </w:r>
          </w:p>
          <w:p w14:paraId="3F67C3E0" w14:textId="77777777" w:rsidR="00927CD0" w:rsidRPr="00FE1682" w:rsidRDefault="00927CD0" w:rsidP="00927CD0">
            <w:pPr>
              <w:tabs>
                <w:tab w:val="left" w:pos="6915"/>
              </w:tabs>
              <w:jc w:val="both"/>
              <w:rPr>
                <w:rFonts w:ascii="Arial" w:hAnsi="Arial" w:cs="Arial"/>
                <w:sz w:val="24"/>
                <w:szCs w:val="24"/>
              </w:rPr>
            </w:pPr>
            <w:r w:rsidRPr="00FE1682">
              <w:rPr>
                <w:rFonts w:ascii="Arial" w:hAnsi="Arial" w:cs="Arial"/>
                <w:sz w:val="24"/>
                <w:szCs w:val="24"/>
              </w:rPr>
              <w:sym w:font="Symbol" w:char="F0B7"/>
            </w:r>
            <w:r w:rsidRPr="00FE1682">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2E79CB" w:rsidRDefault="00927CD0" w:rsidP="00927CD0">
            <w:pPr>
              <w:tabs>
                <w:tab w:val="left" w:pos="6915"/>
              </w:tabs>
              <w:jc w:val="both"/>
              <w:rPr>
                <w:rFonts w:ascii="Arial" w:hAnsi="Arial" w:cs="Arial"/>
                <w:sz w:val="24"/>
                <w:szCs w:val="24"/>
              </w:rPr>
            </w:pPr>
            <w:r w:rsidRPr="00FE1682">
              <w:rPr>
                <w:rFonts w:ascii="Arial" w:hAnsi="Arial" w:cs="Arial"/>
                <w:sz w:val="24"/>
                <w:szCs w:val="24"/>
              </w:rPr>
              <w:t xml:space="preserve"> </w:t>
            </w:r>
            <w:r w:rsidRPr="00FE1682">
              <w:rPr>
                <w:rFonts w:ascii="Arial" w:hAnsi="Arial" w:cs="Arial"/>
                <w:sz w:val="24"/>
                <w:szCs w:val="24"/>
              </w:rPr>
              <w:sym w:font="Symbol" w:char="F0B7"/>
            </w:r>
            <w:r w:rsidRPr="00FE1682">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w:t>
            </w:r>
            <w:r w:rsidR="004D3A5C" w:rsidRPr="002046B0">
              <w:rPr>
                <w:rFonts w:ascii="Arial" w:hAnsi="Arial" w:cs="Arial"/>
                <w:sz w:val="24"/>
                <w:szCs w:val="24"/>
              </w:rPr>
              <w:lastRenderedPageBreak/>
              <w:t>kao i uslovima koji proizilaze iz Zakona o bezbjednosti hrane;</w:t>
            </w:r>
          </w:p>
          <w:p w14:paraId="17844F90" w14:textId="77777777" w:rsidR="000E2C85" w:rsidRPr="002046B0" w:rsidRDefault="001D7599" w:rsidP="005D2DD2">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uz predviđeni ugostiteljski objekat, uz uređeno kupalište i u njegovom zaleđu, gdje za to postoje infrastrukturni priključci može se odobriti postavljanje montažno demontažnih sanitarnih objekata u površinama srazmjerno veličini ugostiteljskog objekta, odnosno kupališta i zakonskim propisima bez potrebe predviđanja istih u grafičkom dijelu plana objekata privremenog karaktera. Na kupalištima i u njihovom zaleđu sanitarni objekti mogu biti i kontejnerskog tipa; </w:t>
            </w:r>
          </w:p>
          <w:p w14:paraId="17844F91" w14:textId="77777777" w:rsidR="00727CDC" w:rsidRPr="007B3552" w:rsidRDefault="001D7599" w:rsidP="004E395F">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neophodno je predvidjeti uklanjanje svih montažnih toaleta nakon završetka sezone;</w:t>
            </w: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lastRenderedPageBreak/>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17844FB4" w14:textId="31D8FB8A" w:rsidR="00C539FA" w:rsidRPr="00D05329" w:rsidRDefault="00E57BED" w:rsidP="002658C8">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 xml:space="preserve">Potrebno je </w:t>
            </w:r>
            <w:r w:rsidRPr="00242BC0">
              <w:rPr>
                <w:rFonts w:ascii="Arial" w:hAnsi="Arial" w:cs="Arial"/>
                <w:bCs/>
                <w:sz w:val="24"/>
                <w:szCs w:val="24"/>
              </w:rPr>
              <w:t xml:space="preserve">uraditi </w:t>
            </w:r>
            <w:r w:rsidRPr="0034272C">
              <w:rPr>
                <w:rFonts w:ascii="Arial" w:hAnsi="Arial" w:cs="Arial"/>
                <w:b/>
                <w:bCs/>
                <w:sz w:val="24"/>
                <w:szCs w:val="24"/>
              </w:rPr>
              <w:t>I</w:t>
            </w:r>
            <w:r w:rsidR="00265AD8" w:rsidRPr="0034272C">
              <w:rPr>
                <w:rFonts w:ascii="Arial" w:hAnsi="Arial" w:cs="Arial"/>
                <w:b/>
                <w:bCs/>
                <w:sz w:val="24"/>
                <w:szCs w:val="24"/>
              </w:rPr>
              <w:t>dejno rješe</w:t>
            </w:r>
            <w:r w:rsidRPr="0034272C">
              <w:rPr>
                <w:rFonts w:ascii="Arial" w:hAnsi="Arial" w:cs="Arial"/>
                <w:b/>
                <w:bCs/>
                <w:sz w:val="24"/>
                <w:szCs w:val="24"/>
              </w:rPr>
              <w:t>nje</w:t>
            </w:r>
            <w:r w:rsidRPr="00242BC0">
              <w:rPr>
                <w:rFonts w:ascii="Arial" w:hAnsi="Arial" w:cs="Arial"/>
                <w:bCs/>
                <w:sz w:val="24"/>
                <w:szCs w:val="24"/>
              </w:rPr>
              <w:t xml:space="preserve"> </w:t>
            </w:r>
            <w:r w:rsidR="002658C8">
              <w:rPr>
                <w:rFonts w:ascii="Arial" w:hAnsi="Arial" w:cs="Arial"/>
                <w:bCs/>
                <w:sz w:val="24"/>
                <w:szCs w:val="24"/>
              </w:rPr>
              <w:t xml:space="preserve">otvorenog šanka </w:t>
            </w:r>
            <w:r w:rsidRPr="00242BC0">
              <w:rPr>
                <w:rFonts w:ascii="Arial" w:hAnsi="Arial" w:cs="Arial"/>
                <w:bCs/>
                <w:sz w:val="24"/>
                <w:szCs w:val="24"/>
              </w:rPr>
              <w:t>sa</w:t>
            </w:r>
            <w:r w:rsidR="00265AD8" w:rsidRPr="00242BC0">
              <w:rPr>
                <w:rFonts w:ascii="Arial" w:hAnsi="Arial" w:cs="Arial"/>
                <w:bCs/>
                <w:sz w:val="24"/>
                <w:szCs w:val="24"/>
              </w:rPr>
              <w:t xml:space="preserve"> </w:t>
            </w:r>
            <w:r w:rsidR="002830CA">
              <w:rPr>
                <w:rFonts w:ascii="Arial" w:hAnsi="Arial" w:cs="Arial"/>
                <w:bCs/>
                <w:sz w:val="24"/>
                <w:szCs w:val="24"/>
              </w:rPr>
              <w:t xml:space="preserve">terasom sa </w:t>
            </w:r>
            <w:r w:rsidR="00265AD8" w:rsidRPr="00242BC0">
              <w:rPr>
                <w:rFonts w:ascii="Arial" w:hAnsi="Arial" w:cs="Arial"/>
                <w:bCs/>
                <w:sz w:val="24"/>
                <w:szCs w:val="24"/>
              </w:rPr>
              <w:t>atest</w:t>
            </w:r>
            <w:r w:rsidRPr="00242BC0">
              <w:rPr>
                <w:rFonts w:ascii="Arial" w:hAnsi="Arial" w:cs="Arial"/>
                <w:bCs/>
                <w:sz w:val="24"/>
                <w:szCs w:val="24"/>
              </w:rPr>
              <w:t xml:space="preserve">om proizvođača kao i </w:t>
            </w:r>
            <w:r w:rsidR="00265AD8" w:rsidRPr="00242BC0">
              <w:rPr>
                <w:rFonts w:ascii="Arial" w:hAnsi="Arial" w:cs="Arial"/>
                <w:bCs/>
                <w:sz w:val="24"/>
                <w:szCs w:val="24"/>
              </w:rPr>
              <w:t xml:space="preserve"> fotografije</w:t>
            </w:r>
            <w:r w:rsidRPr="00242BC0">
              <w:rPr>
                <w:rFonts w:ascii="Arial" w:hAnsi="Arial" w:cs="Arial"/>
                <w:bCs/>
                <w:sz w:val="24"/>
                <w:szCs w:val="24"/>
              </w:rPr>
              <w:t>ama</w:t>
            </w:r>
            <w:r w:rsidR="00265AD8" w:rsidRPr="00242BC0">
              <w:rPr>
                <w:rFonts w:ascii="Arial" w:hAnsi="Arial" w:cs="Arial"/>
                <w:bCs/>
                <w:sz w:val="24"/>
                <w:szCs w:val="24"/>
              </w:rPr>
              <w:t xml:space="preserve"> uređaja koji se postavljaju na ugostiteljskoj teras</w:t>
            </w:r>
            <w:r w:rsidR="0085045C" w:rsidRPr="00242BC0">
              <w:rPr>
                <w:rFonts w:ascii="Arial" w:hAnsi="Arial" w:cs="Arial"/>
                <w:bCs/>
                <w:sz w:val="24"/>
                <w:szCs w:val="24"/>
              </w:rPr>
              <w:t xml:space="preserve">i u okviru šanka i nakon toga uraditi </w:t>
            </w:r>
            <w:r w:rsidR="0085045C" w:rsidRPr="0034272C">
              <w:rPr>
                <w:rFonts w:ascii="Arial" w:hAnsi="Arial" w:cs="Arial"/>
                <w:b/>
                <w:bCs/>
                <w:sz w:val="24"/>
                <w:szCs w:val="24"/>
              </w:rPr>
              <w:t>i revidovati Glavni projekat.</w:t>
            </w: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6F71ED5E"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r w:rsidR="0034272C">
              <w:rPr>
                <w:rFonts w:ascii="Arial" w:hAnsi="Arial" w:cs="Arial"/>
                <w:b/>
                <w:sz w:val="24"/>
              </w:rPr>
              <w:t>.</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52598600" w:rsidR="008E7CB4" w:rsidRPr="0061662C" w:rsidRDefault="008E7CB4" w:rsidP="00F467B7">
            <w:pPr>
              <w:tabs>
                <w:tab w:val="left" w:pos="6915"/>
              </w:tabs>
              <w:jc w:val="both"/>
              <w:rPr>
                <w:rFonts w:ascii="Arial" w:hAnsi="Arial" w:cs="Arial"/>
                <w:bCs/>
                <w:sz w:val="24"/>
                <w:szCs w:val="24"/>
                <w:lang w:val="sr-Latn-CS" w:eastAsia="ar-SA"/>
              </w:rPr>
            </w:pPr>
            <w:r w:rsidRPr="00242BC0">
              <w:rPr>
                <w:rFonts w:ascii="Arial" w:hAnsi="Arial" w:cs="Arial"/>
                <w:bCs/>
                <w:sz w:val="24"/>
                <w:szCs w:val="24"/>
                <w:lang w:val="sr-Latn-CS" w:eastAsia="ar-SA"/>
              </w:rPr>
              <w:t xml:space="preserve">- </w:t>
            </w:r>
            <w:r w:rsidRPr="00AF7634">
              <w:rPr>
                <w:rFonts w:ascii="Arial" w:hAnsi="Arial" w:cs="Arial"/>
                <w:b/>
                <w:sz w:val="24"/>
                <w:szCs w:val="24"/>
                <w:lang w:val="sr-Latn-CS" w:eastAsia="ar-SA"/>
              </w:rPr>
              <w:t>U skladu sa članom br. 40 Zakona o zaštiti prirode (sl.list Crne Gore 54/16</w:t>
            </w:r>
            <w:r w:rsidR="002658C8" w:rsidRPr="00AF7634">
              <w:rPr>
                <w:rFonts w:ascii="Arial" w:hAnsi="Arial" w:cs="Arial"/>
                <w:b/>
                <w:sz w:val="24"/>
                <w:szCs w:val="24"/>
                <w:lang w:val="sr-Latn-CS" w:eastAsia="ar-SA"/>
              </w:rPr>
              <w:t>, 18/19</w:t>
            </w:r>
            <w:r w:rsidRPr="00AF7634">
              <w:rPr>
                <w:rFonts w:ascii="Arial" w:hAnsi="Arial" w:cs="Arial"/>
                <w:b/>
                <w:sz w:val="24"/>
                <w:szCs w:val="24"/>
                <w:lang w:val="sr-Latn-CS" w:eastAsia="ar-SA"/>
              </w:rPr>
              <w:t xml:space="preserve">) potrebno je od Agencije za zaštitu prirode i životne sredine pribaviti </w:t>
            </w:r>
            <w:r w:rsidR="00F84A14" w:rsidRPr="00AF7634">
              <w:rPr>
                <w:rFonts w:ascii="Arial" w:hAnsi="Arial" w:cs="Arial"/>
                <w:b/>
                <w:sz w:val="24"/>
                <w:szCs w:val="24"/>
                <w:lang w:val="sr-Latn-CS" w:eastAsia="ar-SA"/>
              </w:rPr>
              <w:t>D</w:t>
            </w:r>
            <w:r w:rsidRPr="00AF7634">
              <w:rPr>
                <w:rFonts w:ascii="Arial" w:hAnsi="Arial" w:cs="Arial"/>
                <w:b/>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3CA93477" w14:textId="3D2F130E" w:rsidR="00FE1682" w:rsidRPr="00AF7634" w:rsidRDefault="00E177D5" w:rsidP="00FE1682">
            <w:pPr>
              <w:tabs>
                <w:tab w:val="left" w:pos="6915"/>
              </w:tabs>
              <w:jc w:val="both"/>
              <w:rPr>
                <w:rFonts w:ascii="Arial" w:hAnsi="Arial" w:cs="Arial"/>
                <w:b/>
                <w:bCs/>
                <w:sz w:val="24"/>
                <w:szCs w:val="24"/>
                <w:lang w:val="sr-Latn-CS" w:eastAsia="ar-SA"/>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F9417F" w:rsidRPr="007F4A33">
              <w:rPr>
                <w:rFonts w:ascii="Arial" w:hAnsi="Arial" w:cs="Arial"/>
                <w:b/>
                <w:sz w:val="24"/>
                <w:szCs w:val="24"/>
                <w:lang w:val="sr-Latn-CS" w:eastAsia="ar-SA"/>
              </w:rPr>
              <w:t>REVIDOVA</w:t>
            </w:r>
            <w:r w:rsidR="00F9417F">
              <w:rPr>
                <w:rFonts w:ascii="Arial" w:hAnsi="Arial" w:cs="Arial"/>
                <w:b/>
                <w:sz w:val="24"/>
                <w:szCs w:val="24"/>
                <w:lang w:val="sr-Latn-CS" w:eastAsia="ar-SA"/>
              </w:rPr>
              <w:t>NI</w:t>
            </w:r>
            <w:r w:rsidR="007F4A33" w:rsidRPr="007F4A33">
              <w:rPr>
                <w:rFonts w:ascii="Arial" w:hAnsi="Arial" w:cs="Arial"/>
                <w:b/>
                <w:sz w:val="24"/>
                <w:szCs w:val="24"/>
                <w:lang w:val="sr-Latn-CS" w:eastAsia="ar-SA"/>
              </w:rPr>
              <w:t xml:space="preserve"> GLAVNI PROJEKAT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w:t>
            </w:r>
            <w:r w:rsidRPr="00242BC0">
              <w:rPr>
                <w:rFonts w:ascii="Arial" w:hAnsi="Arial" w:cs="Arial"/>
                <w:sz w:val="24"/>
                <w:szCs w:val="24"/>
                <w:lang w:val="sr-Latn-CS" w:eastAsia="ar-SA"/>
              </w:rPr>
              <w:t xml:space="preserve">i </w:t>
            </w:r>
            <w:r w:rsidRPr="00242BC0">
              <w:rPr>
                <w:rFonts w:ascii="Arial" w:hAnsi="Arial" w:cs="Arial"/>
                <w:b/>
                <w:sz w:val="24"/>
                <w:szCs w:val="24"/>
                <w:lang w:val="sr-Latn-CS" w:eastAsia="ar-SA"/>
              </w:rPr>
              <w:t>Dozvolu</w:t>
            </w:r>
            <w:r w:rsidRPr="00242BC0">
              <w:rPr>
                <w:rFonts w:ascii="Arial" w:hAnsi="Arial" w:cs="Arial"/>
                <w:sz w:val="24"/>
                <w:szCs w:val="24"/>
                <w:lang w:val="sr-Latn-CS" w:eastAsia="ar-SA"/>
              </w:rPr>
              <w:t xml:space="preserve"> za obavljanje radnji, aktivnosti i djelatnosti u zaštićenom području izdatu </w:t>
            </w:r>
            <w:r w:rsidRPr="00AF7634">
              <w:rPr>
                <w:rFonts w:ascii="Arial" w:hAnsi="Arial" w:cs="Arial"/>
                <w:b/>
                <w:bCs/>
                <w:sz w:val="24"/>
                <w:szCs w:val="24"/>
                <w:lang w:val="sr-Latn-CS" w:eastAsia="ar-SA"/>
              </w:rPr>
              <w:t>od strane Agencije za zaštitu prirode i životne sredine, Saglasnost Up</w:t>
            </w:r>
            <w:r w:rsidR="0034272C" w:rsidRPr="00AF7634">
              <w:rPr>
                <w:rFonts w:ascii="Arial" w:hAnsi="Arial" w:cs="Arial"/>
                <w:b/>
                <w:bCs/>
                <w:sz w:val="24"/>
                <w:szCs w:val="24"/>
                <w:lang w:val="sr-Latn-CS" w:eastAsia="ar-SA"/>
              </w:rPr>
              <w:t>rave za zaštitu kulturnih dobara.</w:t>
            </w:r>
          </w:p>
          <w:p w14:paraId="17844FC0" w14:textId="61AEDBD5" w:rsidR="003F0952" w:rsidRPr="00F84A14" w:rsidRDefault="00E177D5" w:rsidP="00FE1682">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2658C8">
              <w:rPr>
                <w:rFonts w:ascii="Arial" w:hAnsi="Arial" w:cs="Arial"/>
                <w:sz w:val="24"/>
              </w:rPr>
              <w:t>nadležnom inspekcijskom organu lokalne uprave</w:t>
            </w:r>
            <w:r w:rsidR="002658C8">
              <w:rPr>
                <w:rFonts w:ascii="Arial" w:hAnsi="Arial" w:cs="Arial"/>
                <w:sz w:val="24"/>
              </w:rPr>
              <w:t>.</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5EA233D8"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68A7CC35" w:rsidR="00727CDC" w:rsidRPr="007B3552" w:rsidRDefault="00A43AD3" w:rsidP="005053D0">
            <w:pPr>
              <w:tabs>
                <w:tab w:val="left" w:pos="6915"/>
              </w:tabs>
              <w:rPr>
                <w:rFonts w:ascii="Arial" w:hAnsi="Arial" w:cs="Arial"/>
                <w:b/>
                <w:bCs/>
                <w:sz w:val="24"/>
                <w:szCs w:val="24"/>
              </w:rPr>
            </w:pPr>
            <w:r>
              <w:rPr>
                <w:rFonts w:ascii="Arial" w:hAnsi="Arial" w:cs="Arial"/>
                <w:b/>
                <w:bCs/>
                <w:sz w:val="24"/>
                <w:szCs w:val="24"/>
              </w:rPr>
              <w:t>RUKOVODILAC</w:t>
            </w:r>
            <w:r w:rsidR="00B169E7">
              <w:rPr>
                <w:rFonts w:ascii="Arial" w:hAnsi="Arial" w:cs="Arial"/>
                <w:b/>
                <w:bCs/>
                <w:sz w:val="24"/>
                <w:szCs w:val="24"/>
              </w:rPr>
              <w:t xml:space="preserve"> SLUŽBE ZA UREĐENJE I IZGRADNJU</w:t>
            </w:r>
            <w:r w:rsidR="008B089E" w:rsidRPr="007B3552">
              <w:rPr>
                <w:rFonts w:ascii="Arial" w:hAnsi="Arial" w:cs="Arial"/>
                <w:b/>
                <w:bCs/>
                <w:sz w:val="24"/>
                <w:szCs w:val="24"/>
              </w:rPr>
              <w:t>:</w:t>
            </w:r>
          </w:p>
        </w:tc>
        <w:tc>
          <w:tcPr>
            <w:tcW w:w="4138" w:type="dxa"/>
            <w:gridSpan w:val="2"/>
            <w:noWrap/>
            <w:hideMark/>
          </w:tcPr>
          <w:p w14:paraId="17844FD3" w14:textId="0FABCDC6"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17844FEC" w14:textId="34C24922" w:rsidR="00001EB3" w:rsidRPr="0034272C" w:rsidRDefault="007C325B" w:rsidP="0034272C">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2E79CB" w:rsidRDefault="000F7AB5" w:rsidP="00CB6B6B">
      <w:pPr>
        <w:autoSpaceDE w:val="0"/>
        <w:autoSpaceDN w:val="0"/>
        <w:adjustRightInd w:val="0"/>
        <w:spacing w:after="0" w:line="240" w:lineRule="auto"/>
        <w:jc w:val="both"/>
        <w:rPr>
          <w:rFonts w:ascii="Arial" w:hAnsi="Arial" w:cs="Arial"/>
          <w:sz w:val="24"/>
          <w:szCs w:val="24"/>
          <w:lang w:val="it-IT"/>
        </w:rPr>
      </w:pPr>
    </w:p>
    <w:sectPr w:rsidR="000F7AB5" w:rsidRPr="002E79CB" w:rsidSect="00AE5BAF">
      <w:footerReference w:type="default" r:id="rId11"/>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E1B5" w14:textId="77777777" w:rsidR="00C449EB" w:rsidRDefault="00C449EB" w:rsidP="0016116A">
      <w:pPr>
        <w:spacing w:after="0" w:line="240" w:lineRule="auto"/>
      </w:pPr>
      <w:r>
        <w:separator/>
      </w:r>
    </w:p>
  </w:endnote>
  <w:endnote w:type="continuationSeparator" w:id="0">
    <w:p w14:paraId="3AECAFA6" w14:textId="77777777" w:rsidR="00C449EB" w:rsidRDefault="00C449EB"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830CA">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D51A" w14:textId="77777777" w:rsidR="00C449EB" w:rsidRDefault="00C449EB" w:rsidP="0016116A">
      <w:pPr>
        <w:spacing w:after="0" w:line="240" w:lineRule="auto"/>
      </w:pPr>
      <w:r>
        <w:separator/>
      </w:r>
    </w:p>
  </w:footnote>
  <w:footnote w:type="continuationSeparator" w:id="0">
    <w:p w14:paraId="5D870D20" w14:textId="77777777" w:rsidR="00C449EB" w:rsidRDefault="00C449EB"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668931">
    <w:abstractNumId w:val="7"/>
  </w:num>
  <w:num w:numId="2" w16cid:durableId="1581712121">
    <w:abstractNumId w:val="9"/>
  </w:num>
  <w:num w:numId="3" w16cid:durableId="307248973">
    <w:abstractNumId w:val="14"/>
  </w:num>
  <w:num w:numId="4" w16cid:durableId="864369624">
    <w:abstractNumId w:val="11"/>
  </w:num>
  <w:num w:numId="5" w16cid:durableId="2064324699">
    <w:abstractNumId w:val="2"/>
  </w:num>
  <w:num w:numId="6" w16cid:durableId="436759355">
    <w:abstractNumId w:val="12"/>
  </w:num>
  <w:num w:numId="7" w16cid:durableId="874998860">
    <w:abstractNumId w:val="5"/>
  </w:num>
  <w:num w:numId="8" w16cid:durableId="638387232">
    <w:abstractNumId w:val="10"/>
  </w:num>
  <w:num w:numId="9" w16cid:durableId="170030000">
    <w:abstractNumId w:val="0"/>
  </w:num>
  <w:num w:numId="10" w16cid:durableId="346489417">
    <w:abstractNumId w:val="4"/>
  </w:num>
  <w:num w:numId="11" w16cid:durableId="477962009">
    <w:abstractNumId w:val="13"/>
  </w:num>
  <w:num w:numId="12" w16cid:durableId="1378506995">
    <w:abstractNumId w:val="1"/>
  </w:num>
  <w:num w:numId="13" w16cid:durableId="1340236822">
    <w:abstractNumId w:val="6"/>
  </w:num>
  <w:num w:numId="14" w16cid:durableId="42798951">
    <w:abstractNumId w:val="8"/>
  </w:num>
  <w:num w:numId="15" w16cid:durableId="79371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50936"/>
    <w:rsid w:val="0005219E"/>
    <w:rsid w:val="00053BD1"/>
    <w:rsid w:val="0006446D"/>
    <w:rsid w:val="000754D4"/>
    <w:rsid w:val="000831F6"/>
    <w:rsid w:val="00083F01"/>
    <w:rsid w:val="000949C3"/>
    <w:rsid w:val="000A2649"/>
    <w:rsid w:val="000A78BA"/>
    <w:rsid w:val="000B3110"/>
    <w:rsid w:val="000D472C"/>
    <w:rsid w:val="000E04EF"/>
    <w:rsid w:val="000E1F16"/>
    <w:rsid w:val="000E2C85"/>
    <w:rsid w:val="000F7077"/>
    <w:rsid w:val="000F769F"/>
    <w:rsid w:val="000F7AB5"/>
    <w:rsid w:val="001000B1"/>
    <w:rsid w:val="00103490"/>
    <w:rsid w:val="00113A3E"/>
    <w:rsid w:val="0011715B"/>
    <w:rsid w:val="00125663"/>
    <w:rsid w:val="001347FB"/>
    <w:rsid w:val="0013594D"/>
    <w:rsid w:val="0013726B"/>
    <w:rsid w:val="00141DF4"/>
    <w:rsid w:val="0016116A"/>
    <w:rsid w:val="00185344"/>
    <w:rsid w:val="0019653F"/>
    <w:rsid w:val="001A099B"/>
    <w:rsid w:val="001A189D"/>
    <w:rsid w:val="001A61E9"/>
    <w:rsid w:val="001D7599"/>
    <w:rsid w:val="001E0A63"/>
    <w:rsid w:val="001E5F4F"/>
    <w:rsid w:val="001F6D4F"/>
    <w:rsid w:val="001F7695"/>
    <w:rsid w:val="002046B0"/>
    <w:rsid w:val="00212056"/>
    <w:rsid w:val="002122EA"/>
    <w:rsid w:val="002156BF"/>
    <w:rsid w:val="00224BF6"/>
    <w:rsid w:val="00232131"/>
    <w:rsid w:val="00236339"/>
    <w:rsid w:val="002372B5"/>
    <w:rsid w:val="00242BC0"/>
    <w:rsid w:val="0024505B"/>
    <w:rsid w:val="00255935"/>
    <w:rsid w:val="00260C25"/>
    <w:rsid w:val="002658C8"/>
    <w:rsid w:val="00265AD8"/>
    <w:rsid w:val="002669FD"/>
    <w:rsid w:val="00267D04"/>
    <w:rsid w:val="002721D2"/>
    <w:rsid w:val="00277DD3"/>
    <w:rsid w:val="002830CA"/>
    <w:rsid w:val="00286F51"/>
    <w:rsid w:val="00294EBC"/>
    <w:rsid w:val="002A2868"/>
    <w:rsid w:val="002A4955"/>
    <w:rsid w:val="002B19A6"/>
    <w:rsid w:val="002C157A"/>
    <w:rsid w:val="002C21AA"/>
    <w:rsid w:val="002D239E"/>
    <w:rsid w:val="002D2754"/>
    <w:rsid w:val="002E0A74"/>
    <w:rsid w:val="002E79CB"/>
    <w:rsid w:val="002F2766"/>
    <w:rsid w:val="002F684A"/>
    <w:rsid w:val="002F7118"/>
    <w:rsid w:val="002F7135"/>
    <w:rsid w:val="00303013"/>
    <w:rsid w:val="00330BC5"/>
    <w:rsid w:val="003410F0"/>
    <w:rsid w:val="0034272C"/>
    <w:rsid w:val="00345551"/>
    <w:rsid w:val="00350E83"/>
    <w:rsid w:val="003610B5"/>
    <w:rsid w:val="003770BA"/>
    <w:rsid w:val="00377CC8"/>
    <w:rsid w:val="003857D4"/>
    <w:rsid w:val="00385FBA"/>
    <w:rsid w:val="00392A78"/>
    <w:rsid w:val="003B5350"/>
    <w:rsid w:val="003B6242"/>
    <w:rsid w:val="003C767C"/>
    <w:rsid w:val="003E648F"/>
    <w:rsid w:val="003F0952"/>
    <w:rsid w:val="0041540F"/>
    <w:rsid w:val="004203D8"/>
    <w:rsid w:val="0042368B"/>
    <w:rsid w:val="00426049"/>
    <w:rsid w:val="00435883"/>
    <w:rsid w:val="00443B96"/>
    <w:rsid w:val="0044707B"/>
    <w:rsid w:val="00447B22"/>
    <w:rsid w:val="0045461E"/>
    <w:rsid w:val="00467A05"/>
    <w:rsid w:val="00470AE3"/>
    <w:rsid w:val="00472D0C"/>
    <w:rsid w:val="0047326F"/>
    <w:rsid w:val="00480747"/>
    <w:rsid w:val="00490505"/>
    <w:rsid w:val="00492416"/>
    <w:rsid w:val="004A2432"/>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7B52"/>
    <w:rsid w:val="0055402A"/>
    <w:rsid w:val="00565D22"/>
    <w:rsid w:val="005821A1"/>
    <w:rsid w:val="005927F6"/>
    <w:rsid w:val="005A5F0F"/>
    <w:rsid w:val="005B1D64"/>
    <w:rsid w:val="005B5E10"/>
    <w:rsid w:val="005B6A81"/>
    <w:rsid w:val="005C0561"/>
    <w:rsid w:val="005C116F"/>
    <w:rsid w:val="005D2DD2"/>
    <w:rsid w:val="005D5822"/>
    <w:rsid w:val="005F23BF"/>
    <w:rsid w:val="005F3791"/>
    <w:rsid w:val="00605A14"/>
    <w:rsid w:val="0061261A"/>
    <w:rsid w:val="0061662C"/>
    <w:rsid w:val="00623F1B"/>
    <w:rsid w:val="00624B84"/>
    <w:rsid w:val="00634120"/>
    <w:rsid w:val="006463D9"/>
    <w:rsid w:val="00652743"/>
    <w:rsid w:val="00667AA8"/>
    <w:rsid w:val="006746F6"/>
    <w:rsid w:val="006831FE"/>
    <w:rsid w:val="0068778A"/>
    <w:rsid w:val="00687ACF"/>
    <w:rsid w:val="006C31BC"/>
    <w:rsid w:val="006D43C7"/>
    <w:rsid w:val="006D7DC2"/>
    <w:rsid w:val="006E302B"/>
    <w:rsid w:val="006E5718"/>
    <w:rsid w:val="006F1FD7"/>
    <w:rsid w:val="006F56B9"/>
    <w:rsid w:val="006F7CE9"/>
    <w:rsid w:val="00704035"/>
    <w:rsid w:val="007124D5"/>
    <w:rsid w:val="0072176C"/>
    <w:rsid w:val="00724C8B"/>
    <w:rsid w:val="0072724B"/>
    <w:rsid w:val="00727CDC"/>
    <w:rsid w:val="00727F50"/>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7F39E2"/>
    <w:rsid w:val="007F4A33"/>
    <w:rsid w:val="00801A83"/>
    <w:rsid w:val="00835481"/>
    <w:rsid w:val="008357A8"/>
    <w:rsid w:val="00835E52"/>
    <w:rsid w:val="008374D5"/>
    <w:rsid w:val="0085045C"/>
    <w:rsid w:val="0085318D"/>
    <w:rsid w:val="00867171"/>
    <w:rsid w:val="00870DBE"/>
    <w:rsid w:val="0087228D"/>
    <w:rsid w:val="00872565"/>
    <w:rsid w:val="00872BCA"/>
    <w:rsid w:val="008733A0"/>
    <w:rsid w:val="00876347"/>
    <w:rsid w:val="00877971"/>
    <w:rsid w:val="00880822"/>
    <w:rsid w:val="0088119C"/>
    <w:rsid w:val="0088480C"/>
    <w:rsid w:val="008A00FF"/>
    <w:rsid w:val="008A43B4"/>
    <w:rsid w:val="008B089E"/>
    <w:rsid w:val="008B1DAB"/>
    <w:rsid w:val="008C6BF5"/>
    <w:rsid w:val="008D5C45"/>
    <w:rsid w:val="008D5F69"/>
    <w:rsid w:val="008E7CB4"/>
    <w:rsid w:val="008F4F70"/>
    <w:rsid w:val="009000DD"/>
    <w:rsid w:val="0090098F"/>
    <w:rsid w:val="0090214F"/>
    <w:rsid w:val="00907B23"/>
    <w:rsid w:val="00912A2C"/>
    <w:rsid w:val="00913F8F"/>
    <w:rsid w:val="00921819"/>
    <w:rsid w:val="0092269F"/>
    <w:rsid w:val="0092723E"/>
    <w:rsid w:val="00927CD0"/>
    <w:rsid w:val="00940854"/>
    <w:rsid w:val="009424A1"/>
    <w:rsid w:val="009711AF"/>
    <w:rsid w:val="009A5003"/>
    <w:rsid w:val="009B447C"/>
    <w:rsid w:val="009B4729"/>
    <w:rsid w:val="009B4DD7"/>
    <w:rsid w:val="009B6699"/>
    <w:rsid w:val="009C497B"/>
    <w:rsid w:val="009D0BE9"/>
    <w:rsid w:val="009E328D"/>
    <w:rsid w:val="009F7D5D"/>
    <w:rsid w:val="00A078E7"/>
    <w:rsid w:val="00A21EB3"/>
    <w:rsid w:val="00A22429"/>
    <w:rsid w:val="00A31AA8"/>
    <w:rsid w:val="00A34047"/>
    <w:rsid w:val="00A36C48"/>
    <w:rsid w:val="00A43AD3"/>
    <w:rsid w:val="00A55DB4"/>
    <w:rsid w:val="00A63613"/>
    <w:rsid w:val="00A639E6"/>
    <w:rsid w:val="00A71435"/>
    <w:rsid w:val="00A837FC"/>
    <w:rsid w:val="00A83A97"/>
    <w:rsid w:val="00A905D8"/>
    <w:rsid w:val="00A97F2B"/>
    <w:rsid w:val="00AB623E"/>
    <w:rsid w:val="00AC27C5"/>
    <w:rsid w:val="00AC34CF"/>
    <w:rsid w:val="00AC67E4"/>
    <w:rsid w:val="00AD5C6E"/>
    <w:rsid w:val="00AE324B"/>
    <w:rsid w:val="00AE3C38"/>
    <w:rsid w:val="00AE5BAF"/>
    <w:rsid w:val="00AF0A1A"/>
    <w:rsid w:val="00AF7634"/>
    <w:rsid w:val="00B025EA"/>
    <w:rsid w:val="00B04183"/>
    <w:rsid w:val="00B157F5"/>
    <w:rsid w:val="00B169E7"/>
    <w:rsid w:val="00B175C1"/>
    <w:rsid w:val="00B2280D"/>
    <w:rsid w:val="00B261A8"/>
    <w:rsid w:val="00B26D17"/>
    <w:rsid w:val="00B3068C"/>
    <w:rsid w:val="00B331C3"/>
    <w:rsid w:val="00B45EC2"/>
    <w:rsid w:val="00B468BE"/>
    <w:rsid w:val="00B4797A"/>
    <w:rsid w:val="00B5647F"/>
    <w:rsid w:val="00B6577E"/>
    <w:rsid w:val="00B72474"/>
    <w:rsid w:val="00B73041"/>
    <w:rsid w:val="00B76520"/>
    <w:rsid w:val="00B90321"/>
    <w:rsid w:val="00BA4143"/>
    <w:rsid w:val="00BB2ACE"/>
    <w:rsid w:val="00BE68C1"/>
    <w:rsid w:val="00BF2C05"/>
    <w:rsid w:val="00C20394"/>
    <w:rsid w:val="00C32740"/>
    <w:rsid w:val="00C3585C"/>
    <w:rsid w:val="00C449EB"/>
    <w:rsid w:val="00C530D0"/>
    <w:rsid w:val="00C539FA"/>
    <w:rsid w:val="00C65E37"/>
    <w:rsid w:val="00C664AB"/>
    <w:rsid w:val="00C7478B"/>
    <w:rsid w:val="00C80838"/>
    <w:rsid w:val="00CA1BD2"/>
    <w:rsid w:val="00CA292F"/>
    <w:rsid w:val="00CB2803"/>
    <w:rsid w:val="00CB6B6B"/>
    <w:rsid w:val="00CD2388"/>
    <w:rsid w:val="00CD2754"/>
    <w:rsid w:val="00D02CE4"/>
    <w:rsid w:val="00D05329"/>
    <w:rsid w:val="00D1400F"/>
    <w:rsid w:val="00D2210A"/>
    <w:rsid w:val="00D251D8"/>
    <w:rsid w:val="00D3265C"/>
    <w:rsid w:val="00D3798B"/>
    <w:rsid w:val="00D37A30"/>
    <w:rsid w:val="00D5511F"/>
    <w:rsid w:val="00D82D12"/>
    <w:rsid w:val="00D8675A"/>
    <w:rsid w:val="00D90125"/>
    <w:rsid w:val="00DA4B45"/>
    <w:rsid w:val="00DB032D"/>
    <w:rsid w:val="00DB2CDF"/>
    <w:rsid w:val="00DB347E"/>
    <w:rsid w:val="00DC0ACF"/>
    <w:rsid w:val="00DD7E0D"/>
    <w:rsid w:val="00DE64A6"/>
    <w:rsid w:val="00E17461"/>
    <w:rsid w:val="00E177D5"/>
    <w:rsid w:val="00E17D82"/>
    <w:rsid w:val="00E2350F"/>
    <w:rsid w:val="00E32258"/>
    <w:rsid w:val="00E3229F"/>
    <w:rsid w:val="00E5084D"/>
    <w:rsid w:val="00E50E3B"/>
    <w:rsid w:val="00E52EC0"/>
    <w:rsid w:val="00E57BED"/>
    <w:rsid w:val="00E628EF"/>
    <w:rsid w:val="00E6419B"/>
    <w:rsid w:val="00E67301"/>
    <w:rsid w:val="00E70964"/>
    <w:rsid w:val="00E748E6"/>
    <w:rsid w:val="00E76180"/>
    <w:rsid w:val="00E820CD"/>
    <w:rsid w:val="00E851C7"/>
    <w:rsid w:val="00E85F6C"/>
    <w:rsid w:val="00E97628"/>
    <w:rsid w:val="00EA32B5"/>
    <w:rsid w:val="00EA6C79"/>
    <w:rsid w:val="00EC4736"/>
    <w:rsid w:val="00EC53AE"/>
    <w:rsid w:val="00EC557E"/>
    <w:rsid w:val="00ED0A1A"/>
    <w:rsid w:val="00EF553A"/>
    <w:rsid w:val="00EF69DE"/>
    <w:rsid w:val="00EF796D"/>
    <w:rsid w:val="00F0017F"/>
    <w:rsid w:val="00F04485"/>
    <w:rsid w:val="00F0592E"/>
    <w:rsid w:val="00F14D61"/>
    <w:rsid w:val="00F228D5"/>
    <w:rsid w:val="00F420C3"/>
    <w:rsid w:val="00F43075"/>
    <w:rsid w:val="00F467B7"/>
    <w:rsid w:val="00F52761"/>
    <w:rsid w:val="00F6565C"/>
    <w:rsid w:val="00F776A5"/>
    <w:rsid w:val="00F84A14"/>
    <w:rsid w:val="00F8736A"/>
    <w:rsid w:val="00F9150D"/>
    <w:rsid w:val="00F939A8"/>
    <w:rsid w:val="00F9417F"/>
    <w:rsid w:val="00FB14FB"/>
    <w:rsid w:val="00FB30A1"/>
    <w:rsid w:val="00FC403B"/>
    <w:rsid w:val="00FE1682"/>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A03D8B54-6716-4015-AA53-CDB8E12E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34"/>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4D02-7BFA-4F17-934E-898B3F8A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Srzentić Violeta</cp:lastModifiedBy>
  <cp:revision>11</cp:revision>
  <cp:lastPrinted>2018-12-17T12:56:00Z</cp:lastPrinted>
  <dcterms:created xsi:type="dcterms:W3CDTF">2025-01-22T10:12:00Z</dcterms:created>
  <dcterms:modified xsi:type="dcterms:W3CDTF">2025-02-24T14:24:00Z</dcterms:modified>
</cp:coreProperties>
</file>