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0FD7498" w:rsidR="005053D0" w:rsidRPr="00C20394" w:rsidRDefault="007D7F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4587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BA15DF9" w:rsidR="00727CDC" w:rsidRPr="00856064" w:rsidRDefault="009A104B" w:rsidP="00856064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7D7FDC">
              <w:rPr>
                <w:rFonts w:ascii="Arial" w:hAnsi="Arial" w:cs="Arial"/>
                <w:sz w:val="22"/>
                <w:szCs w:val="22"/>
              </w:rPr>
              <w:t>86/</w:t>
            </w:r>
            <w:r w:rsidR="007D7FDC" w:rsidRPr="007D7FDC">
              <w:rPr>
                <w:rFonts w:ascii="Arial" w:hAnsi="Arial" w:cs="Arial"/>
                <w:sz w:val="22"/>
                <w:szCs w:val="22"/>
              </w:rPr>
              <w:t>36</w:t>
            </w:r>
            <w:r w:rsidR="007D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7D7FDC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77A7E35" w:rsidR="00727CDC" w:rsidRPr="007B3552" w:rsidRDefault="00856064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za postavljanje pri</w:t>
            </w:r>
            <w:r w:rsidR="00C92AFC">
              <w:rPr>
                <w:rFonts w:ascii="Arial" w:hAnsi="Arial" w:cs="Arial"/>
                <w:sz w:val="24"/>
                <w:szCs w:val="24"/>
              </w:rPr>
              <w:t>vremeno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montaž</w:t>
            </w:r>
            <w:r w:rsidR="00C92AFC">
              <w:rPr>
                <w:rFonts w:ascii="Arial" w:hAnsi="Arial" w:cs="Arial"/>
                <w:sz w:val="24"/>
                <w:szCs w:val="24"/>
              </w:rPr>
              <w:t>ih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C92AF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</w:t>
            </w:r>
            <w:r w:rsidR="001E0D06" w:rsidRPr="00C92AF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92AFC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1E0D06">
              <w:rPr>
                <w:rFonts w:ascii="Arial" w:hAnsi="Arial" w:cs="Arial"/>
                <w:sz w:val="24"/>
                <w:szCs w:val="24"/>
              </w:rPr>
              <w:t>a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61F">
              <w:rPr>
                <w:rFonts w:ascii="Arial" w:hAnsi="Arial" w:cs="Arial"/>
                <w:b/>
                <w:bCs/>
                <w:sz w:val="24"/>
                <w:szCs w:val="24"/>
              </w:rPr>
              <w:t>br.8.88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na kupalištu označenom br.10N6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F7E01C8" w14:textId="1D8658D0" w:rsidR="00856064" w:rsidRPr="00856064" w:rsidRDefault="00856064" w:rsidP="0085606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1E0D06">
              <w:rPr>
                <w:rFonts w:ascii="Arial" w:hAnsi="Arial" w:cs="Arial"/>
                <w:b/>
                <w:bCs/>
                <w:sz w:val="24"/>
                <w:szCs w:val="24"/>
              </w:rPr>
              <w:t>br.10N6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D06" w:rsidRPr="001E0D06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- lokacija </w:t>
            </w:r>
            <w:r w:rsidR="001E0D06" w:rsidRPr="00C92AFC">
              <w:rPr>
                <w:rFonts w:ascii="Arial" w:hAnsi="Arial" w:cs="Arial"/>
                <w:b/>
                <w:bCs/>
                <w:sz w:val="24"/>
                <w:szCs w:val="24"/>
              </w:rPr>
              <w:t>8.88</w:t>
            </w:r>
          </w:p>
          <w:p w14:paraId="1017101B" w14:textId="77777777" w:rsidR="00856064" w:rsidRPr="00856064" w:rsidRDefault="00856064" w:rsidP="0085606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D182FF" w14:textId="77777777" w:rsidR="00856064" w:rsidRPr="00856064" w:rsidRDefault="00856064" w:rsidP="0085606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</w:t>
            </w:r>
            <w:r w:rsidRPr="00C92AF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P=131 m2.</w:t>
            </w:r>
          </w:p>
          <w:p w14:paraId="039B4A68" w14:textId="77777777" w:rsidR="00856064" w:rsidRPr="00856064" w:rsidRDefault="00856064" w:rsidP="0085606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43C2BA31" w:rsidR="00CC1634" w:rsidRDefault="00856064" w:rsidP="0085606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</w:t>
            </w:r>
            <w:r w:rsidRPr="00C92AFC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1E0D06">
              <w:rPr>
                <w:rFonts w:ascii="Arial" w:hAnsi="Arial" w:cs="Arial"/>
                <w:sz w:val="24"/>
                <w:szCs w:val="24"/>
              </w:rPr>
              <w:t>na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1E0D06">
              <w:rPr>
                <w:rFonts w:ascii="Arial" w:hAnsi="Arial" w:cs="Arial"/>
                <w:sz w:val="24"/>
                <w:szCs w:val="24"/>
              </w:rPr>
              <w:t>u</w:t>
            </w:r>
            <w:r w:rsidRPr="00856064">
              <w:rPr>
                <w:rFonts w:ascii="Arial" w:hAnsi="Arial" w:cs="Arial"/>
                <w:sz w:val="24"/>
                <w:szCs w:val="24"/>
              </w:rPr>
              <w:t xml:space="preserve"> br.10F iznosi maksimalno P=134 m2.</w:t>
            </w:r>
          </w:p>
          <w:p w14:paraId="51A6AFC8" w14:textId="77777777" w:rsidR="00856064" w:rsidRPr="004C6EA9" w:rsidRDefault="00856064" w:rsidP="0085606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6C81AC2" w14:textId="77777777" w:rsidR="002F5F46" w:rsidRPr="002F5F46" w:rsidRDefault="002F5F46" w:rsidP="002F5F4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4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 Ispred objekta se nalazi terasa koja je natrkivena tendom sa platnom bijele ili bež boje.</w:t>
            </w:r>
          </w:p>
          <w:p w14:paraId="05B756E7" w14:textId="77777777" w:rsidR="002F5F46" w:rsidRPr="002F5F46" w:rsidRDefault="002F5F46" w:rsidP="002F5F4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46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01A3744D" w:rsidR="00B579D6" w:rsidRDefault="002F5F46" w:rsidP="002F5F4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46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području.</w:t>
            </w:r>
          </w:p>
          <w:p w14:paraId="76B1571B" w14:textId="77777777" w:rsidR="002F5F46" w:rsidRPr="004C6EA9" w:rsidRDefault="002F5F46" w:rsidP="002F5F4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856064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856064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856064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856064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856064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856064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856064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856064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856064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85606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56064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85606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56064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856064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56064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856064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606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1E0D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1E0D06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1E0D06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85606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1E0D06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856064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85606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85606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856064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03089473" w:rsidR="007124D5" w:rsidRPr="00856064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85606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stolice, eventualno ograde. Za zaštitu od sunca na otvorenim terasama na javnim površinama dozvoljeno je samo postavljanje </w:t>
            </w:r>
            <w:r w:rsidR="00446731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tendi</w:t>
            </w:r>
            <w:r w:rsidR="00446731" w:rsidRPr="008560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85606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(izuzetno pergola i lakih konstrukcija ako je u skladu sa ambijentalnim vrijednostima prostora i ako je Programom tako definisano za konkretnu lokaciju). </w:t>
            </w:r>
          </w:p>
          <w:p w14:paraId="17844F4A" w14:textId="77777777" w:rsidR="007124D5" w:rsidRPr="008E0FC1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77777777" w:rsidR="007124D5" w:rsidRPr="00856064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606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856064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D" w14:textId="04953337" w:rsidR="007124D5" w:rsidRPr="001E0D06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0D06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1E0D0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05E7AA5" w:rsidR="00D543C3" w:rsidRPr="00856064" w:rsidRDefault="00D543C3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64751914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E536640" w14:textId="77777777" w:rsidR="00856064" w:rsidRPr="00856064" w:rsidRDefault="00856064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sz w:val="24"/>
                <w:szCs w:val="24"/>
                <w:lang w:eastAsia="ar-SA"/>
              </w:rPr>
              <w:t xml:space="preserve">-Tehnička rješenja  za privremene objekte koji imaju otpadne vode, a planirani su na lokacijama na kojima nije izgrađen javni kanalizacioni sistem i u zaštićenim područjima ili u neposrednoj blizini istog ili su te lokacije hidrološki direktno </w:t>
            </w:r>
            <w:r w:rsidRPr="0085606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povezane sa morem i zonama sa zakonom zaštićenom vrstom Posedonia oceanica, su:</w:t>
            </w:r>
          </w:p>
          <w:p w14:paraId="30865714" w14:textId="77777777" w:rsidR="00856064" w:rsidRPr="00856064" w:rsidRDefault="00856064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CC76C17" w14:textId="77777777" w:rsidR="00856064" w:rsidRPr="00856064" w:rsidRDefault="00856064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4969EC4" w14:textId="77777777" w:rsidR="00856064" w:rsidRDefault="00856064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vodonepropusna </w:t>
            </w:r>
          </w:p>
          <w:p w14:paraId="798A6F51" w14:textId="2A6F22CB" w:rsidR="00856064" w:rsidRPr="00856064" w:rsidRDefault="00856064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sz w:val="24"/>
                <w:szCs w:val="24"/>
                <w:lang w:eastAsia="ar-SA"/>
              </w:rPr>
              <w:t>sabirna jama izgrađena od PP ili PE koja je 100% vodonepropusna i/ili (TIP 2)</w:t>
            </w:r>
          </w:p>
          <w:p w14:paraId="4EDD62C6" w14:textId="77777777" w:rsidR="00856064" w:rsidRDefault="00856064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6064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6E0D0138" w14:textId="77777777" w:rsidR="001E0D06" w:rsidRPr="00856064" w:rsidRDefault="001E0D06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E231295" w14:textId="477AE7D9" w:rsidR="00856064" w:rsidRDefault="001E0D06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0D06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A173D99" w14:textId="77777777" w:rsidR="00C92AFC" w:rsidRDefault="00C92AFC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D3ED8CC" w14:textId="5A25369B" w:rsidR="00C92AFC" w:rsidRDefault="00C92AFC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92AFC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5E0438EA" w14:textId="77777777" w:rsidR="00C92AFC" w:rsidRPr="00856064" w:rsidRDefault="00C92AFC" w:rsidP="0085606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1E0D06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E41F8E4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856064" w:rsidRPr="00856064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1E0D06">
              <w:rPr>
                <w:rFonts w:ascii="Arial" w:hAnsi="Arial" w:cs="Arial"/>
                <w:sz w:val="24"/>
                <w:szCs w:val="24"/>
              </w:rPr>
              <w:t>s</w:t>
            </w:r>
            <w:r w:rsidR="00856064" w:rsidRPr="00856064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F5F46" w:rsidRPr="002F5F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18/1 K.O. Donji Štoj</w:t>
            </w:r>
            <w:r w:rsidR="00842C53" w:rsidRPr="008560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357EFF8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856064" w:rsidRPr="00856064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5606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shd w:val="clear" w:color="auto" w:fill="auto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0672B18" w:rsidR="00B261A8" w:rsidRPr="001E0D0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6064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1E0D06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8560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5606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856064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856064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8560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9A10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tera</w:t>
            </w:r>
            <w:r w:rsidR="001E0D06" w:rsidRPr="009A10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E37E2F" w:rsidRPr="009A10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om</w:t>
            </w:r>
            <w:r w:rsidR="00E37E2F" w:rsidRPr="008560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856064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856064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85606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856064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856064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8560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856064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856064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856064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856064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E37E2F" w:rsidRPr="001E0D0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1E0D0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856064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1E0D06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="0085045C" w:rsidRPr="008560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0D06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856064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85045C" w:rsidRPr="008560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5F8E7DA3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856064" w:rsidRPr="0085606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EB608BC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856064" w:rsidRPr="0085606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1E0D0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856064" w:rsidRPr="0085606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="00856064" w:rsidRPr="0085606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89ECF68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B354AF5" w:rsidR="00727CDC" w:rsidRPr="007B3552" w:rsidRDefault="007D7F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ED35" w14:textId="77777777" w:rsidR="00172E87" w:rsidRDefault="00172E87" w:rsidP="0016116A">
      <w:pPr>
        <w:spacing w:after="0" w:line="240" w:lineRule="auto"/>
      </w:pPr>
      <w:r>
        <w:separator/>
      </w:r>
    </w:p>
  </w:endnote>
  <w:endnote w:type="continuationSeparator" w:id="0">
    <w:p w14:paraId="3E539672" w14:textId="77777777" w:rsidR="00172E87" w:rsidRDefault="00172E8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54AF" w14:textId="77777777" w:rsidR="00172E87" w:rsidRDefault="00172E87" w:rsidP="0016116A">
      <w:pPr>
        <w:spacing w:after="0" w:line="240" w:lineRule="auto"/>
      </w:pPr>
      <w:r>
        <w:separator/>
      </w:r>
    </w:p>
  </w:footnote>
  <w:footnote w:type="continuationSeparator" w:id="0">
    <w:p w14:paraId="7F154475" w14:textId="77777777" w:rsidR="00172E87" w:rsidRDefault="00172E8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48480">
    <w:abstractNumId w:val="7"/>
  </w:num>
  <w:num w:numId="2" w16cid:durableId="320502384">
    <w:abstractNumId w:val="9"/>
  </w:num>
  <w:num w:numId="3" w16cid:durableId="1503811829">
    <w:abstractNumId w:val="15"/>
  </w:num>
  <w:num w:numId="4" w16cid:durableId="1063262300">
    <w:abstractNumId w:val="11"/>
  </w:num>
  <w:num w:numId="5" w16cid:durableId="1048183863">
    <w:abstractNumId w:val="2"/>
  </w:num>
  <w:num w:numId="6" w16cid:durableId="1611013226">
    <w:abstractNumId w:val="12"/>
  </w:num>
  <w:num w:numId="7" w16cid:durableId="585309419">
    <w:abstractNumId w:val="5"/>
  </w:num>
  <w:num w:numId="8" w16cid:durableId="1335455011">
    <w:abstractNumId w:val="10"/>
  </w:num>
  <w:num w:numId="9" w16cid:durableId="657803427">
    <w:abstractNumId w:val="0"/>
  </w:num>
  <w:num w:numId="10" w16cid:durableId="1086657279">
    <w:abstractNumId w:val="4"/>
  </w:num>
  <w:num w:numId="11" w16cid:durableId="574170347">
    <w:abstractNumId w:val="13"/>
  </w:num>
  <w:num w:numId="12" w16cid:durableId="1860657046">
    <w:abstractNumId w:val="1"/>
  </w:num>
  <w:num w:numId="13" w16cid:durableId="1266616821">
    <w:abstractNumId w:val="6"/>
  </w:num>
  <w:num w:numId="14" w16cid:durableId="1029793317">
    <w:abstractNumId w:val="8"/>
  </w:num>
  <w:num w:numId="15" w16cid:durableId="965045892">
    <w:abstractNumId w:val="3"/>
  </w:num>
  <w:num w:numId="16" w16cid:durableId="1699117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095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361F"/>
    <w:rsid w:val="000D472C"/>
    <w:rsid w:val="000E04EF"/>
    <w:rsid w:val="000E1F16"/>
    <w:rsid w:val="000E2C85"/>
    <w:rsid w:val="000E68AF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2E87"/>
    <w:rsid w:val="00185344"/>
    <w:rsid w:val="0019653F"/>
    <w:rsid w:val="001A099B"/>
    <w:rsid w:val="001A189D"/>
    <w:rsid w:val="001A61E9"/>
    <w:rsid w:val="001C5C58"/>
    <w:rsid w:val="001D7599"/>
    <w:rsid w:val="001E0A63"/>
    <w:rsid w:val="001E0D06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5F4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05EA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D7FDC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56064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104B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A7FE9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7748A"/>
    <w:rsid w:val="00C80838"/>
    <w:rsid w:val="00C9017D"/>
    <w:rsid w:val="00C92AFC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20</cp:revision>
  <cp:lastPrinted>2018-12-17T12:56:00Z</cp:lastPrinted>
  <dcterms:created xsi:type="dcterms:W3CDTF">2025-01-14T10:09:00Z</dcterms:created>
  <dcterms:modified xsi:type="dcterms:W3CDTF">2025-02-13T08:57:00Z</dcterms:modified>
</cp:coreProperties>
</file>