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55pt;height:65.15pt" o:ole="">
                  <v:imagedata r:id="rId8" o:title=""/>
                </v:shape>
                <o:OLEObject Type="Embed" ProgID="CorelDRAW.Graphic.9" ShapeID="_x0000_i1025" DrawAspect="Content" ObjectID="_180250662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8C793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C793B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8C793B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8C793B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8C793B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8C793B">
              <w:rPr>
                <w:rFonts w:ascii="Arial" w:hAnsi="Arial" w:cs="Arial"/>
                <w:sz w:val="24"/>
                <w:szCs w:val="24"/>
              </w:rPr>
              <w:t>12</w:t>
            </w:r>
            <w:r w:rsidRPr="008C793B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7CA773B" w:rsidR="00727CDC" w:rsidRPr="007B3552" w:rsidRDefault="00D5511F" w:rsidP="004E22A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4E22A0" w:rsidRPr="004E22A0">
              <w:rPr>
                <w:rFonts w:ascii="Arial" w:hAnsi="Arial" w:cs="Arial"/>
                <w:b/>
                <w:bCs/>
                <w:sz w:val="24"/>
                <w:szCs w:val="24"/>
              </w:rPr>
              <w:t>latforma za pristajanje i privez plovila</w:t>
            </w:r>
            <w:r w:rsidR="005736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jedrilica</w:t>
            </w:r>
            <w:r w:rsidR="004E22A0" w:rsidRPr="004E22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A616AC">
              <w:rPr>
                <w:rFonts w:ascii="Arial" w:hAnsi="Arial" w:cs="Arial"/>
                <w:b/>
                <w:sz w:val="24"/>
                <w:szCs w:val="24"/>
              </w:rPr>
              <w:t>9.</w:t>
            </w:r>
            <w:r w:rsidR="0057364F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8C793B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411C4E92" w14:textId="77777777" w:rsidR="008C793B" w:rsidRDefault="00664B96" w:rsidP="00A616A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A616AC" w:rsidRPr="0057364F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  <w:r w:rsidR="0057364F" w:rsidRPr="0057364F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4E22A0" w:rsidRPr="00396D07">
              <w:rPr>
                <w:rFonts w:ascii="Arial" w:hAnsi="Arial" w:cs="Arial"/>
                <w:b/>
                <w:sz w:val="24"/>
                <w:szCs w:val="24"/>
              </w:rPr>
              <w:t>platforma za pristajanje i privez plovila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7364F" w:rsidRPr="00396D07">
              <w:rPr>
                <w:rFonts w:ascii="Arial" w:hAnsi="Arial" w:cs="Arial"/>
                <w:b/>
                <w:sz w:val="24"/>
                <w:szCs w:val="24"/>
              </w:rPr>
              <w:t>– jedrilica</w:t>
            </w:r>
            <w:r w:rsidR="0057364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59ED4C1" w14:textId="77777777" w:rsidR="008C793B" w:rsidRDefault="008C793B" w:rsidP="00A616A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D10CA2" w14:textId="75FF1393" w:rsidR="00A616AC" w:rsidRPr="00A616AC" w:rsidRDefault="00A616AC" w:rsidP="00A616A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L =</w:t>
            </w:r>
            <w:r w:rsidR="0057364F"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 2.5m</w:t>
            </w:r>
          </w:p>
          <w:p w14:paraId="141C21D7" w14:textId="7DFD71A0" w:rsidR="0094766E" w:rsidRPr="008C793B" w:rsidRDefault="00A616AC" w:rsidP="00A616A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Pakv=500m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5C59130D" w14:textId="77777777" w:rsidR="0057364F" w:rsidRPr="008C793B" w:rsidRDefault="0057364F" w:rsidP="0057364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Na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operativnu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obalu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namijenjena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pristajanje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privez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jedrilica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ostalih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plovila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jedrili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kog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kluba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montiraju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plutaju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ć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pontoni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koji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formiraju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privezi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5B" w14:textId="603CBF2D" w:rsidR="0094766E" w:rsidRPr="0094766E" w:rsidRDefault="0057364F" w:rsidP="005736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Opis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monta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no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demonta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ni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ki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elementi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etkaste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tima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betona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Radi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iva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ima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metalnim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ipovima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stavljanje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funkciju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objekta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neophodna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je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7364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sigurnosti</w:t>
            </w:r>
            <w:r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58C5F09" w:rsidR="009000DD" w:rsidRPr="0094766E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766E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8C793B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plovila</w:t>
            </w:r>
            <w:r w:rsidR="00A616AC" w:rsidRPr="00A616A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8C793B">
              <w:rPr>
                <w:rFonts w:ascii="Arial" w:hAnsi="Arial" w:cs="Arial"/>
                <w:bCs/>
                <w:sz w:val="24"/>
                <w:szCs w:val="24"/>
                <w:lang w:val="pl-PL"/>
              </w:rPr>
              <w:t>predvi</w:t>
            </w:r>
            <w:r w:rsidR="00A616AC" w:rsidRPr="008C793B">
              <w:rPr>
                <w:rFonts w:ascii="Arial" w:hAnsi="Arial" w:cs="Arial"/>
                <w:bCs/>
                <w:sz w:val="24"/>
                <w:szCs w:val="24"/>
              </w:rPr>
              <w:t>đ</w:t>
            </w:r>
            <w:r w:rsidR="00A616AC" w:rsidRPr="008C793B">
              <w:rPr>
                <w:rFonts w:ascii="Arial" w:hAnsi="Arial" w:cs="Arial"/>
                <w:bCs/>
                <w:sz w:val="24"/>
                <w:szCs w:val="24"/>
                <w:lang w:val="pl-PL"/>
              </w:rPr>
              <w:t>a</w:t>
            </w:r>
            <w:r w:rsidR="00A616AC" w:rsidRPr="008C793B">
              <w:rPr>
                <w:rFonts w:ascii="Arial" w:hAnsi="Arial" w:cs="Arial"/>
                <w:bCs/>
                <w:sz w:val="24"/>
                <w:szCs w:val="24"/>
              </w:rPr>
              <w:t xml:space="preserve"> se na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7364F">
              <w:rPr>
                <w:rFonts w:ascii="Arial" w:hAnsi="Arial" w:cs="Arial"/>
                <w:b/>
                <w:bCs/>
                <w:sz w:val="24"/>
                <w:szCs w:val="24"/>
              </w:rPr>
              <w:t>1760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57364F">
              <w:rPr>
                <w:rFonts w:ascii="Arial" w:hAnsi="Arial" w:cs="Arial"/>
                <w:b/>
                <w:bCs/>
                <w:sz w:val="24"/>
                <w:szCs w:val="24"/>
              </w:rPr>
              <w:t>Dobrota</w:t>
            </w:r>
            <w:r w:rsidR="008C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lastRenderedPageBreak/>
              <w:t>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5E4C8533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7364F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8C793B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8C793B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389ED1C4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0CC0B84" w:rsidR="00727CDC" w:rsidRPr="007B3552" w:rsidRDefault="00AF712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RUKOVODILAC SLUŽBE ZA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3FE216AF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AA61" w14:textId="77777777" w:rsidR="00E14424" w:rsidRDefault="00E14424" w:rsidP="0016116A">
      <w:pPr>
        <w:spacing w:after="0" w:line="240" w:lineRule="auto"/>
      </w:pPr>
      <w:r>
        <w:separator/>
      </w:r>
    </w:p>
  </w:endnote>
  <w:endnote w:type="continuationSeparator" w:id="0">
    <w:p w14:paraId="3FC17BEF" w14:textId="77777777" w:rsidR="00E14424" w:rsidRDefault="00E1442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9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E508" w14:textId="77777777" w:rsidR="00E14424" w:rsidRDefault="00E14424" w:rsidP="0016116A">
      <w:pPr>
        <w:spacing w:after="0" w:line="240" w:lineRule="auto"/>
      </w:pPr>
      <w:r>
        <w:separator/>
      </w:r>
    </w:p>
  </w:footnote>
  <w:footnote w:type="continuationSeparator" w:id="0">
    <w:p w14:paraId="3C65BF7E" w14:textId="77777777" w:rsidR="00E14424" w:rsidRDefault="00E1442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124371">
    <w:abstractNumId w:val="7"/>
  </w:num>
  <w:num w:numId="2" w16cid:durableId="489754760">
    <w:abstractNumId w:val="9"/>
  </w:num>
  <w:num w:numId="3" w16cid:durableId="832571524">
    <w:abstractNumId w:val="14"/>
  </w:num>
  <w:num w:numId="4" w16cid:durableId="1421638371">
    <w:abstractNumId w:val="11"/>
  </w:num>
  <w:num w:numId="5" w16cid:durableId="2137749643">
    <w:abstractNumId w:val="2"/>
  </w:num>
  <w:num w:numId="6" w16cid:durableId="361516685">
    <w:abstractNumId w:val="12"/>
  </w:num>
  <w:num w:numId="7" w16cid:durableId="217983125">
    <w:abstractNumId w:val="5"/>
  </w:num>
  <w:num w:numId="8" w16cid:durableId="2125684912">
    <w:abstractNumId w:val="10"/>
  </w:num>
  <w:num w:numId="9" w16cid:durableId="2107115007">
    <w:abstractNumId w:val="0"/>
  </w:num>
  <w:num w:numId="10" w16cid:durableId="1985692071">
    <w:abstractNumId w:val="4"/>
  </w:num>
  <w:num w:numId="11" w16cid:durableId="1763262893">
    <w:abstractNumId w:val="13"/>
  </w:num>
  <w:num w:numId="12" w16cid:durableId="1189487113">
    <w:abstractNumId w:val="1"/>
  </w:num>
  <w:num w:numId="13" w16cid:durableId="1298880476">
    <w:abstractNumId w:val="6"/>
  </w:num>
  <w:num w:numId="14" w16cid:durableId="497304999">
    <w:abstractNumId w:val="8"/>
  </w:num>
  <w:num w:numId="15" w16cid:durableId="1682969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96D07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2F36"/>
    <w:rsid w:val="00443B96"/>
    <w:rsid w:val="0044707B"/>
    <w:rsid w:val="00447B22"/>
    <w:rsid w:val="0045461E"/>
    <w:rsid w:val="004575ED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7364F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1553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C793B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616AC"/>
    <w:rsid w:val="00A63613"/>
    <w:rsid w:val="00A639E6"/>
    <w:rsid w:val="00A71435"/>
    <w:rsid w:val="00A741CC"/>
    <w:rsid w:val="00A827C7"/>
    <w:rsid w:val="00A837FC"/>
    <w:rsid w:val="00A83A97"/>
    <w:rsid w:val="00A905D8"/>
    <w:rsid w:val="00A9131F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10F1"/>
    <w:rsid w:val="00C42984"/>
    <w:rsid w:val="00C43BBC"/>
    <w:rsid w:val="00C4689A"/>
    <w:rsid w:val="00C530D0"/>
    <w:rsid w:val="00C539FA"/>
    <w:rsid w:val="00C55E92"/>
    <w:rsid w:val="00C573D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4424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511CF288-DAEC-4F83-B37B-EDF1785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E8A9-3E21-4F09-94FE-B11F3558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Srzentić Violeta</cp:lastModifiedBy>
  <cp:revision>5</cp:revision>
  <cp:lastPrinted>2018-12-17T12:56:00Z</cp:lastPrinted>
  <dcterms:created xsi:type="dcterms:W3CDTF">2025-02-14T13:02:00Z</dcterms:created>
  <dcterms:modified xsi:type="dcterms:W3CDTF">2025-03-03T10:29:00Z</dcterms:modified>
</cp:coreProperties>
</file>