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CF1FF6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CF1FF6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F1FF6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CF1FF6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CF1FF6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6716F8F6" w:rsidR="005053D0" w:rsidRPr="00CF1FF6" w:rsidRDefault="00812BDF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CF1FF6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CF1FF6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CF1FF6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CF1FF6">
        <w:rPr>
          <w:rFonts w:ascii="Arial" w:eastAsia="Calibri" w:hAnsi="Arial" w:cs="Arial"/>
          <w:b/>
          <w:sz w:val="28"/>
          <w:szCs w:val="28"/>
        </w:rPr>
        <w:t>TEHNIČKI</w:t>
      </w:r>
      <w:r w:rsidRPr="00CF1FF6">
        <w:rPr>
          <w:rFonts w:ascii="Arial" w:eastAsia="Calibri" w:hAnsi="Arial" w:cs="Arial"/>
          <w:b/>
          <w:sz w:val="28"/>
          <w:szCs w:val="28"/>
        </w:rPr>
        <w:t>H</w:t>
      </w:r>
      <w:r w:rsidR="00743DAA" w:rsidRPr="00CF1FF6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CF1FF6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CF1FF6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CF1FF6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CF1FF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CF1FF6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CF1FF6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CF1FF6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CF1FF6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CF1FF6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135DEE59" w:rsidR="009B6699" w:rsidRPr="00CF1FF6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CF1FF6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CF1FF6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CF1FF6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CF1FF6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6.25pt" o:ole="">
                  <v:imagedata r:id="rId8" o:title=""/>
                </v:shape>
                <o:OLEObject Type="Embed" ProgID="CorelDRAW.Graphic.9" ShapeID="_x0000_i1025" DrawAspect="Content" ObjectID="_1801144412" r:id="rId9"/>
              </w:object>
            </w:r>
          </w:p>
        </w:tc>
      </w:tr>
      <w:tr w:rsidR="007B3552" w:rsidRPr="00CF1FF6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CF1FF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CF1FF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CF1FF6" w:rsidRDefault="00D439A8" w:rsidP="00D43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CF1FF6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CF1FF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CF1FF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CF1FF6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CF1FF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CF1FF6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CF1FF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5B91D27" w:rsidR="00727CDC" w:rsidRPr="00CF1FF6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CF1FF6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A36C48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montažn</w:t>
            </w:r>
            <w:r w:rsidR="00435883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414BF9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demontažnog </w:t>
            </w:r>
            <w:r w:rsidR="00F31585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privremenog </w:t>
            </w:r>
            <w:r w:rsidR="00EF553A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objek</w:t>
            </w:r>
            <w:r w:rsidR="00F31585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 </w:t>
            </w:r>
            <w:r w:rsidR="00435883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CF1FF6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3048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informacioni punkt</w:t>
            </w:r>
            <w:r w:rsidR="00971678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EF553A" w:rsidRPr="00CF1FF6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CF1FF6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CF1FF6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6A11E2">
              <w:rPr>
                <w:rFonts w:ascii="Arial" w:hAnsi="Arial" w:cs="Arial"/>
                <w:b/>
                <w:sz w:val="22"/>
                <w:szCs w:val="22"/>
              </w:rPr>
              <w:t>4.11</w:t>
            </w:r>
            <w:r w:rsidR="006A5089" w:rsidRPr="00CF1FF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CF1FF6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812BDF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CF1FF6">
              <w:rPr>
                <w:rFonts w:ascii="Arial" w:hAnsi="Arial" w:cs="Arial"/>
                <w:sz w:val="22"/>
                <w:szCs w:val="22"/>
              </w:rPr>
              <w:t>predviđena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CF1FF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CF1FF6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6A11E2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CF1FF6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</w:t>
            </w:r>
            <w:r w:rsidR="00812BDF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CF1FF6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CF1FF6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CF1FF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CF1FF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CF1FF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CF1FF6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CF1FF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CF1FF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CF1FF6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CF1FF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CF1FF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CF1FF6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CF1FF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3A9AAB7" w:rsidR="004A697F" w:rsidRPr="00CF1FF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6A11E2">
              <w:rPr>
                <w:rFonts w:ascii="Arial" w:hAnsi="Arial" w:cs="Arial"/>
                <w:b/>
                <w:bCs/>
                <w:sz w:val="22"/>
                <w:szCs w:val="22"/>
              </w:rPr>
              <w:t>4.11</w:t>
            </w:r>
            <w:r w:rsidR="00BC3EF3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CF1FF6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CF1FF6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93B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demontažni privremeni objekat</w:t>
            </w:r>
            <w:r w:rsidR="000D293B" w:rsidRPr="00CF1FF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CE409B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informacioni punkt</w:t>
            </w:r>
            <w:r w:rsidR="00BC3EF3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603BE8" w:rsidRPr="00CF1FF6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CF1FF6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CF1FF6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CF1FF6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CF1FF6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CF1FF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CF1FF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362290" w14:textId="66620250" w:rsidR="00603BE8" w:rsidRPr="006A11E2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6A11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P= </w:t>
            </w:r>
            <w:r w:rsidR="006A11E2" w:rsidRPr="006A11E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6A11E2">
              <w:rPr>
                <w:rFonts w:ascii="Arial" w:hAnsi="Arial" w:cs="Arial"/>
                <w:b/>
                <w:bCs/>
                <w:sz w:val="22"/>
                <w:szCs w:val="22"/>
              </w:rPr>
              <w:t>m2</w:t>
            </w:r>
          </w:p>
          <w:p w14:paraId="4D227F2F" w14:textId="77777777" w:rsidR="00B72A9D" w:rsidRPr="00CF1FF6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  <w:p w14:paraId="72CD0EF1" w14:textId="77777777" w:rsidR="006A11E2" w:rsidRDefault="006A11E2" w:rsidP="006A11E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</w:t>
            </w:r>
            <w:r w:rsidRPr="006A11E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ipski montažni objekat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. </w:t>
            </w:r>
            <w:r w:rsidRPr="006A11E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Za postavljanje potrebna pismena saglasnost TO Budva. Neophodno pribaviti konzervatorske uslove od UZKD</w:t>
            </w:r>
            <w:r w:rsidRPr="006A11E2">
              <w:rPr>
                <w:rFonts w:ascii="Arial" w:hAnsi="Arial" w:cs="Arial"/>
                <w:b/>
                <w:bCs/>
                <w:sz w:val="22"/>
                <w:szCs w:val="22"/>
                <w:lang w:val="sl-SI" w:eastAsia="ar-SA"/>
              </w:rPr>
              <w:t xml:space="preserve"> </w:t>
            </w:r>
          </w:p>
          <w:p w14:paraId="3A301847" w14:textId="77777777" w:rsidR="006A11E2" w:rsidRDefault="006A11E2" w:rsidP="006A11E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 w:eastAsia="ar-SA"/>
              </w:rPr>
            </w:pPr>
          </w:p>
          <w:p w14:paraId="72EE85FA" w14:textId="3FC31602" w:rsidR="008E3F22" w:rsidRPr="006A11E2" w:rsidRDefault="008E3F22" w:rsidP="006A11E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Informacioni punkt je tipski otvoreni privremeni objekat, maksimalne površine do 2m2 koji se po pravilu postavlja na uređenoj javnoj površini (pješačkoj ulici ili trgu) ili na uređenom kupalištu; </w:t>
            </w:r>
          </w:p>
          <w:p w14:paraId="4396B25E" w14:textId="42229912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 xml:space="preserve">Izrađuje se od lakog materijala kao što su lake metalne konstrukcije i obloge, inox mreže, prexiglas; </w:t>
            </w:r>
          </w:p>
          <w:p w14:paraId="0745A561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>Prateća oprema informacionog punkta je stolica na sklapanje;</w:t>
            </w:r>
          </w:p>
          <w:p w14:paraId="15E63CED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 xml:space="preserve">Na informacionom pultu je dozvoljeno postaviti reklamni naziv i reklamni logo; </w:t>
            </w:r>
          </w:p>
          <w:p w14:paraId="3CBC1CE6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 xml:space="preserve">Nakon isteka dnevnog radnog vremena informacioni pult ostaje na javnoj površini, a nakon sezonskog radnog vremena se uklanja sa javne površine; </w:t>
            </w:r>
          </w:p>
          <w:p w14:paraId="17AD845D" w14:textId="56CE9E64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>Na informacionom pultu se ne može vršiti bilo kakva prodaja;</w:t>
            </w:r>
          </w:p>
          <w:p w14:paraId="76BBB155" w14:textId="313AD06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>Postavljanje informacionog punkta se može dozvoliti i na svakom uređenom kupalištu za potrebe izdavanja suncobrana, ležaljki i drugih plažnih rekvizita, na dijelu predviđenom za postavljanje plažnog mobilijara. Informacioni punkt na kupalištu se sastoji isključivo od stolice i stola natkrivenim tipskim suncobranom ili tipskog otvorenog punkta površine do 2m2.</w:t>
            </w:r>
          </w:p>
          <w:p w14:paraId="198F0A02" w14:textId="37F7096D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Na komercijalnim pristaništima i privezištima mogu se odobriti informativni pultovi (red vožnji i sl.) do 1m2 – širine 1m, dubine 0.8 sa nadkrivanjem pulta tendom 1m x 1m, sa kasetom u donjem dijelu pulta za propagandni materijal, bez potrebe   predviđanja istih u grafičkom dijelu ovog Programa;</w:t>
            </w:r>
          </w:p>
          <w:p w14:paraId="1F7FB995" w14:textId="7BD93ADA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i/>
                <w:sz w:val="22"/>
                <w:szCs w:val="22"/>
              </w:rPr>
              <w:t>Tehnička dokumentacija: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Tipski projekat, kataloški podaci, fotografije.</w:t>
            </w:r>
          </w:p>
          <w:p w14:paraId="01FF4E38" w14:textId="3DF0D1FD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3A685997" w14:textId="6C71EB0A" w:rsidR="008E3F22" w:rsidRPr="00CF1FF6" w:rsidRDefault="008E3F22" w:rsidP="008E3F22">
            <w:pPr>
              <w:suppressAutoHyphens/>
              <w:ind w:left="11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41C5E1" w14:textId="0CEBCEA5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13949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0F5240" w14:textId="5AB4A7C2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3CA8EFF" wp14:editId="7B552676">
                  <wp:simplePos x="0" y="0"/>
                  <wp:positionH relativeFrom="margin">
                    <wp:posOffset>1894840</wp:posOffset>
                  </wp:positionH>
                  <wp:positionV relativeFrom="margin">
                    <wp:posOffset>4671060</wp:posOffset>
                  </wp:positionV>
                  <wp:extent cx="1569720" cy="3485515"/>
                  <wp:effectExtent l="0" t="0" r="0" b="635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0" r="30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348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34BF2" w14:textId="69139C8E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1575EE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59FE55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ED8AD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4B1780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D15B3F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A6603F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C71AFE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634E67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C38DE0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2696A6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6E5B0F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A838EB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9C93D8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E0A4B4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1B6210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8DBD07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999EBD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6BB9C3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C2467B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02547B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09EAD0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6FB5F9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F1FF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F1FF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63A4C947" w14:textId="77777777" w:rsidR="008E3F22" w:rsidRPr="00CF1FF6" w:rsidRDefault="008E3F22" w:rsidP="008E3F22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F1FF6">
              <w:rPr>
                <w:rFonts w:ascii="Arial" w:hAnsi="Arial" w:cs="Arial"/>
                <w:i/>
                <w:sz w:val="22"/>
                <w:szCs w:val="22"/>
              </w:rPr>
              <w:t>Slika: Preporučeni izgled infromacionog punkta</w:t>
            </w:r>
          </w:p>
          <w:p w14:paraId="2ABB6A6C" w14:textId="77777777" w:rsidR="008E3F22" w:rsidRPr="00CF1FF6" w:rsidRDefault="008E3F22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5B" w14:textId="319ECFFC" w:rsidR="00BE68C1" w:rsidRPr="00CF1FF6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CF1FF6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CF1FF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CF1FF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CF1FF6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CF1FF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BEDB65A" w:rsidR="009000DD" w:rsidRPr="00CF1FF6" w:rsidRDefault="00CE409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Informacioni punkt</w:t>
            </w:r>
            <w:r w:rsidR="00A377B0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9000DD" w:rsidRPr="00CF1FF6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CF1FF6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kp</w:t>
            </w:r>
            <w:proofErr w:type="spellEnd"/>
            <w:r w:rsidR="00425C72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A11E2" w:rsidRPr="006A11E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3054/2 K.O. </w:t>
            </w:r>
            <w:proofErr w:type="spellStart"/>
            <w:r w:rsidR="006A11E2" w:rsidRPr="006A11E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  <w:r w:rsidR="00E748E6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1A8A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CF1FF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CF1FF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CF1FF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CF1FF6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CF1FF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CF1FF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CF1FF6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  <w:r w:rsidR="007F43F1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1FF6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CF1FF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1FF6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CF1FF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CF1FF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CF1FF6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CF1FF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CF1F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CF1FF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F1FF6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CF1FF6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CF1FF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CF1FF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CF1FF6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CF1FF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CF1FF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CF1FF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3F67C3E0" w14:textId="77777777" w:rsidR="00927CD0" w:rsidRPr="006A11E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11E2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6A11E2">
              <w:rPr>
                <w:rFonts w:ascii="Arial" w:hAnsi="Arial" w:cs="Arial"/>
                <w:sz w:val="22"/>
                <w:szCs w:val="22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CF1FF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A11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11E2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6A11E2">
              <w:rPr>
                <w:rFonts w:ascii="Arial" w:hAnsi="Arial" w:cs="Arial"/>
                <w:sz w:val="22"/>
                <w:szCs w:val="22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CF1FF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CF1FF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CF1FF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CF1FF6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CF1FF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CF1FF6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CF1FF6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CF1FF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CF1FF6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CF1FF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4BF19F90" w14:textId="404D2183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Tipski projekat, kataloški podaci, fotografije.</w:t>
            </w:r>
          </w:p>
          <w:p w14:paraId="6F750461" w14:textId="0F8336A0" w:rsidR="00B261A8" w:rsidRPr="00CF1FF6" w:rsidRDefault="00B261A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4" w14:textId="77777777" w:rsidR="00C539FA" w:rsidRPr="00CF1FF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CF1FF6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CF1FF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CF1FF6">
              <w:rPr>
                <w:rFonts w:ascii="Arial" w:hAnsi="Arial" w:cs="Arial"/>
                <w:sz w:val="22"/>
                <w:szCs w:val="22"/>
              </w:rPr>
              <w:t>3</w:t>
            </w:r>
            <w:r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CF1FF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06942E49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17844FB8" w14:textId="57738A79" w:rsidR="00753FA7" w:rsidRPr="00CF1FF6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CB4" w:rsidRPr="00CF1FF6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CF1FF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CF1FF6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CF1FF6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CF1FF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CF1FF6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CF1FF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CF1F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CF1FF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F1FF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CF1FF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CF1FF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CF1FF6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CF1FF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CF1FF6">
              <w:rPr>
                <w:rFonts w:ascii="Arial" w:hAnsi="Arial" w:cs="Arial"/>
                <w:sz w:val="22"/>
                <w:szCs w:val="22"/>
              </w:rPr>
              <w:t>5</w:t>
            </w:r>
            <w:r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9978647" w:rsidR="00E177D5" w:rsidRPr="00CF1FF6" w:rsidRDefault="00E177D5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8E3F22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Tipski projekat, kataloški podaci, fotografije </w:t>
            </w:r>
            <w:r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>(na CD-u u zaštićenoj verziji),</w:t>
            </w:r>
            <w:r w:rsidR="008E3F22"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</w:t>
            </w:r>
            <w:r w:rsidR="008E3F22" w:rsidRPr="00CF1FF6">
              <w:rPr>
                <w:rFonts w:ascii="Arial" w:hAnsi="Arial" w:cs="Arial"/>
                <w:b/>
                <w:bCs/>
                <w:sz w:val="22"/>
                <w:szCs w:val="22"/>
                <w:lang w:val="sr-Latn-CS" w:eastAsia="ar-SA"/>
              </w:rPr>
              <w:t>Saglasnost</w:t>
            </w:r>
            <w:r w:rsidR="008E3F22"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Glavnog gradskog arhitekte</w:t>
            </w:r>
            <w:r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CF1FF6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sredine,  </w:t>
            </w:r>
            <w:r w:rsidRPr="006A11E2">
              <w:rPr>
                <w:rFonts w:ascii="Arial" w:hAnsi="Arial" w:cs="Arial"/>
                <w:sz w:val="22"/>
                <w:szCs w:val="22"/>
                <w:lang w:val="sr-Latn-CS" w:eastAsia="ar-SA"/>
              </w:rPr>
              <w:t>Saglasnost Up</w:t>
            </w:r>
            <w:r w:rsidR="006D4FE4" w:rsidRPr="006A11E2">
              <w:rPr>
                <w:rFonts w:ascii="Arial" w:hAnsi="Arial" w:cs="Arial"/>
                <w:sz w:val="22"/>
                <w:szCs w:val="22"/>
                <w:lang w:val="sr-Latn-CS" w:eastAsia="ar-SA"/>
              </w:rPr>
              <w:t>r</w:t>
            </w:r>
            <w:r w:rsidRPr="006A11E2">
              <w:rPr>
                <w:rFonts w:ascii="Arial" w:hAnsi="Arial" w:cs="Arial"/>
                <w:sz w:val="22"/>
                <w:szCs w:val="22"/>
                <w:lang w:val="sr-Latn-CS" w:eastAsia="ar-SA"/>
              </w:rPr>
              <w:t>ave za zaštitu kulturnih dobara</w:t>
            </w:r>
            <w:r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</w:t>
            </w:r>
          </w:p>
          <w:p w14:paraId="17844FC0" w14:textId="7495B434" w:rsidR="003F0952" w:rsidRPr="00CF1FF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-</w:t>
            </w:r>
            <w:r w:rsidRPr="00CF1FF6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. Zakona o planiranju prostora i izgradnji objekata, korisnik je dužan da 15 dana prije postavljanja privremenog objekta, dostavi prijavu sa svom tehničkom </w:t>
            </w:r>
            <w:r w:rsidRPr="00CF1FF6">
              <w:rPr>
                <w:rFonts w:ascii="Arial" w:hAnsi="Arial" w:cs="Arial"/>
                <w:sz w:val="22"/>
                <w:szCs w:val="22"/>
              </w:rPr>
              <w:lastRenderedPageBreak/>
              <w:t>dokumentacijom i Saglasnostima, Dozvolama traženim UTU nadležnom inspekcijskom organu lokalne uprave</w:t>
            </w:r>
          </w:p>
        </w:tc>
      </w:tr>
      <w:tr w:rsidR="007B3552" w:rsidRPr="00CF1FF6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CF1FF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CF1FF6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CF1FF6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CF1FF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CF1FF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CF1FF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CF1FF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CF1FF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CF1FF6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CF1FF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CF1FF6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CF1FF6">
              <w:rPr>
                <w:rFonts w:ascii="Arial" w:hAnsi="Arial" w:cs="Arial"/>
                <w:sz w:val="22"/>
                <w:szCs w:val="22"/>
              </w:rPr>
              <w:t>7</w:t>
            </w:r>
            <w:r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CF1FF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CF1FF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CF1FF6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6D4CBE18" w:rsidR="00727CDC" w:rsidRPr="00CF1FF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  <w:r w:rsidR="006A11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potpis</w:t>
            </w:r>
          </w:p>
          <w:p w14:paraId="17844FCE" w14:textId="4FBA35CE" w:rsidR="00265AD8" w:rsidRPr="00CF1FF6" w:rsidRDefault="006A11E2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  <w:p w14:paraId="17844FCF" w14:textId="77777777" w:rsidR="00265AD8" w:rsidRPr="00CF1FF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CF1FF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CF1FF6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CF1FF6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CF1FF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CF1FF6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CF1FF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CF1FF6">
              <w:rPr>
                <w:rFonts w:ascii="Arial" w:hAnsi="Arial" w:cs="Arial"/>
                <w:sz w:val="22"/>
                <w:szCs w:val="22"/>
              </w:rPr>
              <w:t>19</w:t>
            </w:r>
            <w:r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CF1FF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CF1FF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CF1FF6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CF1FF6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CF1FF6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CF1FF6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CF1FF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CF1FF6">
              <w:rPr>
                <w:rFonts w:ascii="Arial" w:hAnsi="Arial" w:cs="Arial"/>
                <w:sz w:val="22"/>
                <w:szCs w:val="22"/>
              </w:rPr>
              <w:t>0</w:t>
            </w:r>
            <w:r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CF1FF6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CF1FF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CF1FF6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CF1FF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CF1FF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CF1FF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CF1FF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CF1FF6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CF1FF6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CF1FF6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CF1FF6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8541" w14:textId="77777777" w:rsidR="00877E09" w:rsidRDefault="00877E09" w:rsidP="0016116A">
      <w:pPr>
        <w:spacing w:after="0" w:line="240" w:lineRule="auto"/>
      </w:pPr>
      <w:r>
        <w:separator/>
      </w:r>
    </w:p>
  </w:endnote>
  <w:endnote w:type="continuationSeparator" w:id="0">
    <w:p w14:paraId="5F3B832B" w14:textId="77777777" w:rsidR="00877E09" w:rsidRDefault="00877E0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6A13" w14:textId="77777777" w:rsidR="00877E09" w:rsidRDefault="00877E09" w:rsidP="0016116A">
      <w:pPr>
        <w:spacing w:after="0" w:line="240" w:lineRule="auto"/>
      </w:pPr>
      <w:r>
        <w:separator/>
      </w:r>
    </w:p>
  </w:footnote>
  <w:footnote w:type="continuationSeparator" w:id="0">
    <w:p w14:paraId="201080BC" w14:textId="77777777" w:rsidR="00877E09" w:rsidRDefault="00877E0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226D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38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11E2"/>
    <w:rsid w:val="006A5089"/>
    <w:rsid w:val="006B5FC3"/>
    <w:rsid w:val="006B7566"/>
    <w:rsid w:val="006C31BC"/>
    <w:rsid w:val="006D43C7"/>
    <w:rsid w:val="006D4FE4"/>
    <w:rsid w:val="006D7CCC"/>
    <w:rsid w:val="006E1A8A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45284"/>
    <w:rsid w:val="00753FA7"/>
    <w:rsid w:val="00756235"/>
    <w:rsid w:val="00766C85"/>
    <w:rsid w:val="00771930"/>
    <w:rsid w:val="00773048"/>
    <w:rsid w:val="0078104B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2BDF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3F22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E409B"/>
    <w:rsid w:val="00CF1FF6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007C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4369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Pejović Mirjana</cp:lastModifiedBy>
  <cp:revision>2</cp:revision>
  <cp:lastPrinted>2018-12-17T12:56:00Z</cp:lastPrinted>
  <dcterms:created xsi:type="dcterms:W3CDTF">2025-02-15T16:06:00Z</dcterms:created>
  <dcterms:modified xsi:type="dcterms:W3CDTF">2025-02-15T16:06:00Z</dcterms:modified>
</cp:coreProperties>
</file>