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24996"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11D4148F"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FD0557">
              <w:rPr>
                <w:rFonts w:ascii="Arial" w:hAnsi="Arial" w:cs="Arial"/>
                <w:b/>
                <w:sz w:val="24"/>
                <w:szCs w:val="24"/>
              </w:rPr>
              <w:t>3</w:t>
            </w:r>
            <w:r w:rsidR="00E95A6F">
              <w:rPr>
                <w:rFonts w:ascii="Arial" w:hAnsi="Arial" w:cs="Arial"/>
                <w:b/>
                <w:sz w:val="24"/>
                <w:szCs w:val="24"/>
              </w:rPr>
              <w:t>8</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682AED5"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FD0557">
              <w:rPr>
                <w:rFonts w:ascii="Arial" w:hAnsi="Arial" w:cs="Arial"/>
                <w:b/>
                <w:bCs/>
                <w:sz w:val="24"/>
                <w:szCs w:val="24"/>
              </w:rPr>
              <w:t>3</w:t>
            </w:r>
            <w:r w:rsidR="00E95A6F">
              <w:rPr>
                <w:rFonts w:ascii="Arial" w:hAnsi="Arial" w:cs="Arial"/>
                <w:b/>
                <w:bCs/>
                <w:sz w:val="24"/>
                <w:szCs w:val="24"/>
              </w:rPr>
              <w:t>8</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86E4B2A"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FD0557">
              <w:rPr>
                <w:rFonts w:ascii="Arial" w:hAnsi="Arial" w:cs="Arial"/>
                <w:b/>
                <w:bCs/>
                <w:sz w:val="24"/>
                <w:szCs w:val="24"/>
              </w:rPr>
              <w:t>20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136F415A" w14:textId="62DC8EF2" w:rsidR="00E95A6F" w:rsidRDefault="00FD0557" w:rsidP="00F17143">
            <w:pPr>
              <w:jc w:val="both"/>
              <w:rPr>
                <w:rFonts w:ascii="Arial" w:hAnsi="Arial" w:cs="Arial"/>
                <w:b/>
                <w:bCs/>
                <w:sz w:val="24"/>
                <w:szCs w:val="24"/>
                <w:lang w:val="sl-SI"/>
              </w:rPr>
            </w:pPr>
            <w:r>
              <w:rPr>
                <w:rFonts w:ascii="Arial" w:hAnsi="Arial" w:cs="Arial"/>
                <w:b/>
                <w:bCs/>
                <w:sz w:val="24"/>
                <w:szCs w:val="24"/>
                <w:lang w:val="sl-SI"/>
              </w:rPr>
              <w:t>D</w:t>
            </w:r>
            <w:r w:rsidRPr="00FD0557">
              <w:rPr>
                <w:rFonts w:ascii="Arial" w:hAnsi="Arial" w:cs="Arial"/>
                <w:b/>
                <w:bCs/>
                <w:sz w:val="24"/>
                <w:szCs w:val="24"/>
                <w:lang w:val="sl-SI"/>
              </w:rPr>
              <w:t>io terase uz objekat površine 92 m2 natkrivena tipskim kružnim suncobranima bijele ili bež boje</w:t>
            </w:r>
            <w:r>
              <w:rPr>
                <w:rFonts w:ascii="Arial" w:hAnsi="Arial" w:cs="Arial"/>
                <w:b/>
                <w:bCs/>
                <w:sz w:val="24"/>
                <w:szCs w:val="24"/>
                <w:lang w:val="sl-SI"/>
              </w:rPr>
              <w:t>;</w:t>
            </w:r>
          </w:p>
          <w:p w14:paraId="2D98760B" w14:textId="77777777" w:rsidR="00FD0557" w:rsidRPr="00767256" w:rsidRDefault="00FD0557"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4D3980">
              <w:rPr>
                <w:rFonts w:ascii="Arial" w:hAnsi="Arial" w:cs="Arial"/>
                <w:sz w:val="24"/>
                <w:szCs w:val="24"/>
              </w:rPr>
              <w:t>akrilnim</w:t>
            </w:r>
            <w:proofErr w:type="spellEnd"/>
            <w:r w:rsidRPr="004D3980">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 xml:space="preserve">Postavljen i otvoren suncobran može natkrivati samo </w:t>
            </w:r>
            <w:proofErr w:type="spellStart"/>
            <w:r w:rsidRPr="004D3980">
              <w:rPr>
                <w:rFonts w:ascii="Arial" w:hAnsi="Arial" w:cs="Arial"/>
                <w:sz w:val="24"/>
                <w:szCs w:val="24"/>
              </w:rPr>
              <w:t>tlocrtnu</w:t>
            </w:r>
            <w:proofErr w:type="spellEnd"/>
            <w:r w:rsidRPr="004D3980">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DA8B90F"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E012E6">
              <w:rPr>
                <w:rFonts w:ascii="Arial" w:hAnsi="Arial" w:cs="Arial"/>
                <w:sz w:val="24"/>
                <w:szCs w:val="24"/>
                <w:lang w:val="en-US"/>
              </w:rPr>
              <w:t>iznad</w:t>
            </w:r>
            <w:proofErr w:type="spellEnd"/>
            <w:r w:rsidR="00E012E6">
              <w:rPr>
                <w:rFonts w:ascii="Arial" w:hAnsi="Arial" w:cs="Arial"/>
                <w:sz w:val="24"/>
                <w:szCs w:val="24"/>
                <w:lang w:val="en-US"/>
              </w:rPr>
              <w:t xml:space="preserve">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E95A6F">
              <w:rPr>
                <w:rFonts w:ascii="Arial" w:hAnsi="Arial" w:cs="Arial"/>
                <w:b/>
                <w:bCs/>
                <w:sz w:val="24"/>
                <w:szCs w:val="24"/>
              </w:rPr>
              <w:t>643/1</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r w:rsidR="009D27C1">
              <w:rPr>
                <w:rFonts w:ascii="Arial" w:hAnsi="Arial" w:cs="Arial"/>
                <w:sz w:val="24"/>
                <w:szCs w:val="24"/>
                <w:lang w:val="en-US"/>
              </w:rPr>
              <w:t xml:space="preserve"> </w:t>
            </w: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4BC8" w14:textId="77777777" w:rsidR="00FB47B3" w:rsidRDefault="00FB47B3" w:rsidP="0016116A">
      <w:pPr>
        <w:spacing w:after="0" w:line="240" w:lineRule="auto"/>
      </w:pPr>
      <w:r>
        <w:separator/>
      </w:r>
    </w:p>
  </w:endnote>
  <w:endnote w:type="continuationSeparator" w:id="0">
    <w:p w14:paraId="42038439" w14:textId="77777777" w:rsidR="00FB47B3" w:rsidRDefault="00FB47B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5C90" w14:textId="77777777" w:rsidR="00FB47B3" w:rsidRDefault="00FB47B3" w:rsidP="0016116A">
      <w:pPr>
        <w:spacing w:after="0" w:line="240" w:lineRule="auto"/>
      </w:pPr>
      <w:r>
        <w:separator/>
      </w:r>
    </w:p>
  </w:footnote>
  <w:footnote w:type="continuationSeparator" w:id="0">
    <w:p w14:paraId="30BECF7B" w14:textId="77777777" w:rsidR="00FB47B3" w:rsidRDefault="00FB47B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24</cp:revision>
  <cp:lastPrinted>2018-12-17T12:56:00Z</cp:lastPrinted>
  <dcterms:created xsi:type="dcterms:W3CDTF">2025-02-11T12:36:00Z</dcterms:created>
  <dcterms:modified xsi:type="dcterms:W3CDTF">2025-02-15T10:41:00Z</dcterms:modified>
</cp:coreProperties>
</file>