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0248"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CF13681"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w:t>
            </w:r>
            <w:r w:rsidR="00BC1DDE">
              <w:rPr>
                <w:rFonts w:ascii="Arial" w:hAnsi="Arial" w:cs="Arial"/>
                <w:b/>
                <w:sz w:val="24"/>
                <w:szCs w:val="24"/>
              </w:rPr>
              <w:t>10</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4F5F019A"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w:t>
            </w:r>
            <w:r w:rsidR="00BC1DDE">
              <w:rPr>
                <w:rFonts w:ascii="Arial" w:hAnsi="Arial" w:cs="Arial"/>
                <w:b/>
                <w:bCs/>
                <w:sz w:val="24"/>
                <w:szCs w:val="24"/>
              </w:rPr>
              <w:t>10</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477A2601" w:rsidR="00A31A6C" w:rsidRPr="00A31A6C" w:rsidRDefault="005B30F1" w:rsidP="00A31A6C">
            <w:pPr>
              <w:pStyle w:val="Standard"/>
              <w:rPr>
                <w:rFonts w:ascii="Arial" w:hAnsi="Arial" w:cs="Arial"/>
                <w:b/>
                <w:bCs/>
              </w:rPr>
            </w:pPr>
            <w:r>
              <w:rPr>
                <w:rFonts w:ascii="Arial" w:hAnsi="Arial" w:cs="Arial"/>
                <w:b/>
                <w:bCs/>
              </w:rPr>
              <w:t>P=</w:t>
            </w:r>
            <w:r w:rsidR="00BC1DDE">
              <w:rPr>
                <w:rFonts w:ascii="Arial" w:hAnsi="Arial" w:cs="Arial"/>
                <w:b/>
                <w:bCs/>
              </w:rPr>
              <w:t xml:space="preserve"> 25m x 2.5m + </w:t>
            </w:r>
            <w:r w:rsidR="00A31A6C" w:rsidRPr="00A31A6C">
              <w:rPr>
                <w:rFonts w:ascii="Arial" w:hAnsi="Arial" w:cs="Arial"/>
                <w:b/>
                <w:bCs/>
              </w:rPr>
              <w:t>12,5mx2,5m</w:t>
            </w:r>
          </w:p>
          <w:p w14:paraId="4D227F2F" w14:textId="048F8962"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BC1DDE">
              <w:rPr>
                <w:rFonts w:ascii="Arial" w:hAnsi="Arial" w:cs="Arial"/>
                <w:b/>
                <w:bCs/>
                <w:sz w:val="24"/>
                <w:szCs w:val="24"/>
              </w:rPr>
              <w:t>7</w:t>
            </w:r>
            <w:r w:rsidR="005B30F1">
              <w:rPr>
                <w:rFonts w:ascii="Arial" w:hAnsi="Arial" w:cs="Arial"/>
                <w:b/>
                <w:bCs/>
                <w:sz w:val="24"/>
                <w:szCs w:val="24"/>
              </w:rPr>
              <w:t>5</w:t>
            </w:r>
            <w:r w:rsidRPr="00A31A6C">
              <w:rPr>
                <w:rFonts w:ascii="Arial" w:hAnsi="Arial" w:cs="Arial"/>
                <w:b/>
                <w:bCs/>
                <w:sz w:val="24"/>
                <w:szCs w:val="24"/>
              </w:rPr>
              <w:t>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463E735"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9BC8ADD"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BC1DDE">
              <w:rPr>
                <w:rFonts w:ascii="Arial" w:hAnsi="Arial" w:cs="Arial"/>
                <w:b/>
                <w:bCs/>
                <w:sz w:val="24"/>
                <w:szCs w:val="24"/>
                <w:lang w:val="en-US"/>
              </w:rPr>
              <w:t>840 I 731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FF5" w14:textId="77777777" w:rsidR="00DA14EE" w:rsidRDefault="00DA14EE" w:rsidP="0016116A">
      <w:pPr>
        <w:spacing w:after="0" w:line="240" w:lineRule="auto"/>
      </w:pPr>
      <w:r>
        <w:separator/>
      </w:r>
    </w:p>
  </w:endnote>
  <w:endnote w:type="continuationSeparator" w:id="0">
    <w:p w14:paraId="2FB646E2" w14:textId="77777777" w:rsidR="00DA14EE" w:rsidRDefault="00DA14E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D5C9" w14:textId="77777777" w:rsidR="00DA14EE" w:rsidRDefault="00DA14EE" w:rsidP="0016116A">
      <w:pPr>
        <w:spacing w:after="0" w:line="240" w:lineRule="auto"/>
      </w:pPr>
      <w:r>
        <w:separator/>
      </w:r>
    </w:p>
  </w:footnote>
  <w:footnote w:type="continuationSeparator" w:id="0">
    <w:p w14:paraId="47775270" w14:textId="77777777" w:rsidR="00DA14EE" w:rsidRDefault="00DA14E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124</cp:revision>
  <cp:lastPrinted>2018-12-17T12:56:00Z</cp:lastPrinted>
  <dcterms:created xsi:type="dcterms:W3CDTF">2019-04-06T09:07:00Z</dcterms:created>
  <dcterms:modified xsi:type="dcterms:W3CDTF">2025-02-12T11:55:00Z</dcterms:modified>
</cp:coreProperties>
</file>