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54382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28D6D85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B762B">
              <w:rPr>
                <w:rFonts w:ascii="Arial" w:hAnsi="Arial" w:cs="Arial"/>
                <w:b/>
                <w:sz w:val="24"/>
                <w:szCs w:val="24"/>
              </w:rPr>
              <w:t>8.</w:t>
            </w:r>
            <w:r w:rsidR="00F3194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E0191CE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B762B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="00F3194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D337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potrebe opštine Tivat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415E6950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CE4C22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B88DDD" w14:textId="3474D708" w:rsidR="007B1CB0" w:rsidRDefault="00434F5C" w:rsidP="00434F5C">
            <w:pPr>
              <w:tabs>
                <w:tab w:val="left" w:pos="5103"/>
              </w:tabs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434F5C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uz mogućnost postavljanja behaton podloge; zabranjeno je uklanjanje postojećih stabala</w:t>
            </w:r>
            <w:r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.</w:t>
            </w:r>
            <w:r w:rsidRPr="00434F5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Ograničenje za postavljanje objekata na parkingu po visini i po načinu emitovanja svjetlosti</w:t>
            </w:r>
            <w:r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 xml:space="preserve">. </w:t>
            </w:r>
            <w:r w:rsidRPr="00434F5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Ukoliko je konstrukcija objekta viša od 20 m, neophodna je saglasnost Agencije za civilno vazduhoplovstvo.</w:t>
            </w:r>
            <w:r w:rsidRPr="00434F5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br/>
              <w:t>Obavezno usmjeravanje snopa svjetlosti direktno ka zemlji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.</w:t>
            </w:r>
          </w:p>
          <w:p w14:paraId="5D6A6A14" w14:textId="77777777" w:rsidR="00114E16" w:rsidRPr="00434F5C" w:rsidRDefault="00114E16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23D077D4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83B9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1266/1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76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3E0718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3B300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i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it-IT"/>
              </w:rPr>
              <w:t>Saglasnost Agencije za civilno vazduhoplovstvo.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B762B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E2AA6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48</cp:revision>
  <cp:lastPrinted>2018-12-17T12:56:00Z</cp:lastPrinted>
  <dcterms:created xsi:type="dcterms:W3CDTF">2025-02-13T08:11:00Z</dcterms:created>
  <dcterms:modified xsi:type="dcterms:W3CDTF">2025-02-13T11:19:00Z</dcterms:modified>
</cp:coreProperties>
</file>