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339131"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06398A7"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982A86">
              <w:rPr>
                <w:rFonts w:ascii="Arial" w:hAnsi="Arial" w:cs="Arial"/>
                <w:b/>
                <w:sz w:val="22"/>
                <w:szCs w:val="22"/>
              </w:rPr>
              <w:t>3</w:t>
            </w:r>
            <w:r w:rsidR="00D900E9">
              <w:rPr>
                <w:rFonts w:ascii="Arial" w:hAnsi="Arial" w:cs="Arial"/>
                <w:b/>
                <w:sz w:val="22"/>
                <w:szCs w:val="22"/>
              </w:rPr>
              <w:t>D</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D900E9">
              <w:rPr>
                <w:rFonts w:ascii="Arial" w:hAnsi="Arial" w:cs="Arial"/>
                <w:b/>
                <w:bCs/>
                <w:sz w:val="22"/>
                <w:szCs w:val="22"/>
              </w:rPr>
              <w:t>Ulcinj</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D900E9">
              <w:rPr>
                <w:rFonts w:ascii="Arial" w:hAnsi="Arial" w:cs="Arial"/>
                <w:b/>
                <w:bCs/>
                <w:sz w:val="22"/>
                <w:szCs w:val="22"/>
              </w:rPr>
              <w:t>Ulcinj</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5D2C79DD"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982A86">
              <w:rPr>
                <w:rFonts w:ascii="Arial" w:hAnsi="Arial" w:cs="Arial"/>
                <w:b/>
                <w:bCs/>
                <w:sz w:val="22"/>
                <w:szCs w:val="22"/>
              </w:rPr>
              <w:t>3</w:t>
            </w:r>
            <w:r w:rsidR="00D900E9">
              <w:rPr>
                <w:rFonts w:ascii="Arial" w:hAnsi="Arial" w:cs="Arial"/>
                <w:b/>
                <w:bCs/>
                <w:sz w:val="22"/>
                <w:szCs w:val="22"/>
              </w:rPr>
              <w:t>D</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3C4FDCB8" w14:textId="77777777" w:rsidR="00982A86" w:rsidRPr="00982A86" w:rsidRDefault="00982A86" w:rsidP="00982A86">
            <w:pPr>
              <w:numPr>
                <w:ilvl w:val="12"/>
                <w:numId w:val="0"/>
              </w:numPr>
              <w:tabs>
                <w:tab w:val="left" w:pos="5103"/>
              </w:tabs>
              <w:jc w:val="both"/>
              <w:rPr>
                <w:rFonts w:ascii="Arial" w:hAnsi="Arial" w:cs="Arial"/>
                <w:b/>
                <w:bCs/>
                <w:sz w:val="22"/>
                <w:szCs w:val="22"/>
              </w:rPr>
            </w:pPr>
            <w:r w:rsidRPr="00982A86">
              <w:rPr>
                <w:rFonts w:ascii="Arial" w:hAnsi="Arial" w:cs="Arial"/>
                <w:b/>
                <w:bCs/>
                <w:sz w:val="22"/>
                <w:szCs w:val="22"/>
              </w:rPr>
              <w:t>Objekat:</w:t>
            </w:r>
          </w:p>
          <w:p w14:paraId="5ED34E6B" w14:textId="77777777" w:rsidR="00982A86" w:rsidRPr="00982A86" w:rsidRDefault="00982A86" w:rsidP="00982A86">
            <w:pPr>
              <w:numPr>
                <w:ilvl w:val="12"/>
                <w:numId w:val="0"/>
              </w:numPr>
              <w:tabs>
                <w:tab w:val="left" w:pos="5103"/>
              </w:tabs>
              <w:jc w:val="both"/>
              <w:rPr>
                <w:rFonts w:ascii="Arial" w:hAnsi="Arial" w:cs="Arial"/>
                <w:b/>
                <w:bCs/>
                <w:sz w:val="22"/>
                <w:szCs w:val="22"/>
              </w:rPr>
            </w:pPr>
            <w:r w:rsidRPr="00982A86">
              <w:rPr>
                <w:rFonts w:ascii="Arial" w:hAnsi="Arial" w:cs="Arial"/>
                <w:b/>
                <w:bCs/>
                <w:sz w:val="22"/>
                <w:szCs w:val="22"/>
              </w:rPr>
              <w:t>Po=129 m2</w:t>
            </w:r>
          </w:p>
          <w:p w14:paraId="6B7434F6" w14:textId="77777777" w:rsidR="00982A86" w:rsidRPr="00982A86" w:rsidRDefault="00982A86" w:rsidP="00982A86">
            <w:pPr>
              <w:numPr>
                <w:ilvl w:val="12"/>
                <w:numId w:val="0"/>
              </w:numPr>
              <w:tabs>
                <w:tab w:val="left" w:pos="5103"/>
              </w:tabs>
              <w:jc w:val="both"/>
              <w:rPr>
                <w:rFonts w:ascii="Arial" w:hAnsi="Arial" w:cs="Arial"/>
                <w:b/>
                <w:bCs/>
                <w:sz w:val="22"/>
                <w:szCs w:val="22"/>
              </w:rPr>
            </w:pPr>
            <w:r w:rsidRPr="00982A86">
              <w:rPr>
                <w:rFonts w:ascii="Arial" w:hAnsi="Arial" w:cs="Arial"/>
                <w:b/>
                <w:bCs/>
                <w:sz w:val="22"/>
                <w:szCs w:val="22"/>
              </w:rPr>
              <w:t>P1=22 m2</w:t>
            </w:r>
          </w:p>
          <w:p w14:paraId="6420B641" w14:textId="77777777" w:rsidR="00982A86" w:rsidRPr="00982A86" w:rsidRDefault="00982A86" w:rsidP="00982A86">
            <w:pPr>
              <w:numPr>
                <w:ilvl w:val="12"/>
                <w:numId w:val="0"/>
              </w:numPr>
              <w:tabs>
                <w:tab w:val="left" w:pos="5103"/>
              </w:tabs>
              <w:jc w:val="both"/>
              <w:rPr>
                <w:rFonts w:ascii="Arial" w:hAnsi="Arial" w:cs="Arial"/>
                <w:b/>
                <w:bCs/>
                <w:sz w:val="22"/>
                <w:szCs w:val="22"/>
              </w:rPr>
            </w:pPr>
            <w:r w:rsidRPr="00982A86">
              <w:rPr>
                <w:rFonts w:ascii="Arial" w:hAnsi="Arial" w:cs="Arial"/>
                <w:b/>
                <w:bCs/>
                <w:sz w:val="22"/>
                <w:szCs w:val="22"/>
              </w:rPr>
              <w:t>Terasa:</w:t>
            </w:r>
          </w:p>
          <w:p w14:paraId="55FCC33D" w14:textId="77777777" w:rsidR="00982A86" w:rsidRPr="00982A86" w:rsidRDefault="00982A86" w:rsidP="00982A86">
            <w:pPr>
              <w:numPr>
                <w:ilvl w:val="12"/>
                <w:numId w:val="0"/>
              </w:numPr>
              <w:tabs>
                <w:tab w:val="left" w:pos="5103"/>
              </w:tabs>
              <w:jc w:val="both"/>
              <w:rPr>
                <w:rFonts w:ascii="Arial" w:hAnsi="Arial" w:cs="Arial"/>
                <w:b/>
                <w:bCs/>
                <w:sz w:val="22"/>
                <w:szCs w:val="22"/>
              </w:rPr>
            </w:pPr>
            <w:r w:rsidRPr="00982A86">
              <w:rPr>
                <w:rFonts w:ascii="Arial" w:hAnsi="Arial" w:cs="Arial"/>
                <w:b/>
                <w:bCs/>
                <w:sz w:val="22"/>
                <w:szCs w:val="22"/>
              </w:rPr>
              <w:t>Pnt=33 m2</w:t>
            </w:r>
          </w:p>
          <w:p w14:paraId="482EA892" w14:textId="5CDADD04" w:rsidR="00E17AF5" w:rsidRPr="00E17AF5" w:rsidRDefault="00982A86" w:rsidP="00982A86">
            <w:pPr>
              <w:autoSpaceDN w:val="0"/>
              <w:adjustRightInd w:val="0"/>
              <w:jc w:val="both"/>
              <w:textAlignment w:val="baseline"/>
              <w:rPr>
                <w:rFonts w:ascii="Arial" w:hAnsi="Arial" w:cs="Arial"/>
                <w:sz w:val="22"/>
                <w:szCs w:val="22"/>
                <w:highlight w:val="yellow"/>
              </w:rPr>
            </w:pPr>
            <w:r w:rsidRPr="00982A86">
              <w:rPr>
                <w:rFonts w:ascii="Arial" w:hAnsi="Arial" w:cs="Arial"/>
                <w:b/>
                <w:bCs/>
                <w:sz w:val="22"/>
                <w:szCs w:val="22"/>
              </w:rPr>
              <w:t>Pot=91 m2</w:t>
            </w:r>
          </w:p>
          <w:p w14:paraId="7BF02652"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lastRenderedPageBreak/>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46FB1F09" w14:textId="77777777" w:rsidR="00264C5E" w:rsidRPr="00264C5E" w:rsidRDefault="00264C5E" w:rsidP="00264C5E">
            <w:pPr>
              <w:jc w:val="both"/>
              <w:rPr>
                <w:rFonts w:ascii="Arial" w:hAnsi="Arial" w:cs="Arial"/>
                <w:sz w:val="22"/>
                <w:szCs w:val="22"/>
              </w:rPr>
            </w:pPr>
          </w:p>
          <w:p w14:paraId="2AE270DD"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4C10AAE5"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36790083"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Zelene, odnosno plažne pješčane površine, površine na području prirodnog i kulturno</w:t>
            </w:r>
            <w:r w:rsidRPr="00264C5E">
              <w:rPr>
                <w:rFonts w:ascii="Cambria Math" w:hAnsi="Cambria Math" w:cs="Cambria Math"/>
                <w:sz w:val="22"/>
                <w:szCs w:val="22"/>
              </w:rPr>
              <w:t>‐</w:t>
            </w:r>
            <w:r w:rsidRPr="00264C5E">
              <w:rPr>
                <w:rFonts w:ascii="Arial" w:hAnsi="Arial" w:cs="Arial"/>
                <w:sz w:val="22"/>
                <w:szCs w:val="22"/>
              </w:rPr>
              <w:t>istorijskog područja i zaštićene okoline, starih gradova, kulturno</w:t>
            </w:r>
            <w:r w:rsidRPr="00264C5E">
              <w:rPr>
                <w:rFonts w:ascii="Cambria Math" w:hAnsi="Cambria Math" w:cs="Cambria Math"/>
                <w:sz w:val="22"/>
                <w:szCs w:val="22"/>
              </w:rPr>
              <w:t>‐</w:t>
            </w:r>
            <w:r w:rsidRPr="00264C5E">
              <w:rPr>
                <w:rFonts w:ascii="Arial" w:hAnsi="Arial" w:cs="Arial"/>
                <w:sz w:val="22"/>
                <w:szCs w:val="22"/>
              </w:rPr>
              <w:t>istorijskih i ambijentalnih cjelina, površine u neposrednoj blizini ili zaštićenoj okolini nepokretnih kulturnih dobara, kao i površine mora ne mogu se betonirati za potrebe planiranja i postavljanja novih privremenih ugostiteljskih objekata;</w:t>
            </w:r>
          </w:p>
          <w:p w14:paraId="5B157BF4"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Postojeća podloga objekta mora biti autentična, ne vještački stvorena za potrebe postavljanja novog privremenog objekta;</w:t>
            </w:r>
          </w:p>
          <w:p w14:paraId="62411BBA" w14:textId="77777777" w:rsidR="00264C5E" w:rsidRPr="00264C5E" w:rsidRDefault="00264C5E" w:rsidP="00264C5E">
            <w:pPr>
              <w:jc w:val="both"/>
              <w:rPr>
                <w:rFonts w:ascii="Arial" w:hAnsi="Arial" w:cs="Arial"/>
                <w:sz w:val="22"/>
                <w:szCs w:val="22"/>
              </w:rPr>
            </w:pPr>
          </w:p>
          <w:p w14:paraId="76D19179"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Terasa se organizuje na postojećoj gotovoj podlozi, a u slučaju da postojeća podloga nije odgovarajuća, može se postaviti montažno-demontažna podloga (deking ili sl.) Podna platforma ne može biti visine veće od 10 cm.</w:t>
            </w:r>
          </w:p>
          <w:p w14:paraId="60C6C62B"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44AD3929"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476B60E"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193320F6"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59844A18"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431B548F"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0A87C3A0"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w:t>
            </w:r>
            <w:r w:rsidRPr="00264C5E">
              <w:rPr>
                <w:rFonts w:ascii="Arial" w:hAnsi="Arial" w:cs="Arial"/>
                <w:sz w:val="22"/>
                <w:szCs w:val="22"/>
              </w:rPr>
              <w:lastRenderedPageBreak/>
              <w:t xml:space="preserve">lozom, izuzetno bijelim platnom, ukoliko uslovi na terenu ne omogućavaju sađenje vegetacije.  </w:t>
            </w:r>
          </w:p>
          <w:p w14:paraId="15688427"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65A29A64"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2A09E072"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57F44164" w14:textId="77777777" w:rsidR="00264C5E" w:rsidRPr="00264C5E" w:rsidRDefault="00264C5E" w:rsidP="00264C5E">
            <w:pPr>
              <w:jc w:val="both"/>
              <w:rPr>
                <w:rFonts w:ascii="Arial" w:hAnsi="Arial" w:cs="Arial"/>
                <w:sz w:val="22"/>
                <w:szCs w:val="22"/>
              </w:rPr>
            </w:pPr>
            <w:r w:rsidRPr="00264C5E">
              <w:rPr>
                <w:rFonts w:ascii="Arial" w:hAnsi="Arial" w:cs="Arial"/>
                <w:sz w:val="22"/>
                <w:szCs w:val="22"/>
              </w:rPr>
              <w:t xml:space="preserve">Oprema ugostiteljskih terasa (mobilijar) treba da bude lagana, ujednačena, jednostavnih linija, po mogućnosti od prirodnih materijala. Savremeni dizajn je veoma preporučljiv. </w:t>
            </w:r>
          </w:p>
          <w:p w14:paraId="5F83297F" w14:textId="507D7A36" w:rsidR="00264C5E" w:rsidRDefault="00264C5E" w:rsidP="00264C5E">
            <w:pPr>
              <w:suppressAutoHyphens/>
              <w:rPr>
                <w:rFonts w:ascii="Arial" w:hAnsi="Arial" w:cs="Arial"/>
                <w:sz w:val="22"/>
                <w:szCs w:val="22"/>
              </w:rPr>
            </w:pPr>
            <w:r w:rsidRPr="00264C5E">
              <w:rPr>
                <w:rFonts w:ascii="Arial" w:hAnsi="Arial" w:cs="Arial"/>
                <w:sz w:val="22"/>
                <w:szCs w:val="22"/>
              </w:rPr>
              <w:t>Postavljanje uređaja za hlađenje i zagrijevanje terase električnom energijom vrši se u skladu sa posebnim propisima koji se odnose na električne i termotehničke instalacije</w:t>
            </w:r>
          </w:p>
          <w:p w14:paraId="0CAD3A57" w14:textId="66194FF9" w:rsidR="007D0FAF" w:rsidRDefault="00F7060C" w:rsidP="00DF43EA">
            <w:pPr>
              <w:suppressAutoHyphens/>
              <w:rPr>
                <w:rFonts w:ascii="Arial" w:hAnsi="Arial" w:cs="Arial"/>
                <w:sz w:val="22"/>
                <w:szCs w:val="22"/>
                <w:lang w:eastAsia="ar-SA"/>
              </w:rPr>
            </w:pPr>
            <w:r>
              <w:rPr>
                <w:rFonts w:ascii="Arial" w:hAnsi="Arial" w:cs="Arial"/>
                <w:noProof/>
                <w:lang w:eastAsia="ar-SA"/>
              </w:rPr>
              <w:drawing>
                <wp:inline distT="0" distB="0" distL="0" distR="0" wp14:anchorId="2707ACA0" wp14:editId="3063704C">
                  <wp:extent cx="5133975" cy="1769608"/>
                  <wp:effectExtent l="0" t="0" r="0" b="2540"/>
                  <wp:docPr id="1919239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9033" cy="1771351"/>
                          </a:xfrm>
                          <a:prstGeom prst="rect">
                            <a:avLst/>
                          </a:prstGeom>
                          <a:noFill/>
                        </pic:spPr>
                      </pic:pic>
                    </a:graphicData>
                  </a:graphic>
                </wp:inline>
              </w:drawing>
            </w:r>
          </w:p>
          <w:p w14:paraId="1A5C9572" w14:textId="77777777" w:rsidR="007D0FAF" w:rsidRPr="007D0FAF" w:rsidRDefault="007D0FAF" w:rsidP="007D0FAF">
            <w:pPr>
              <w:suppressAutoHyphens/>
              <w:jc w:val="both"/>
              <w:rPr>
                <w:rFonts w:ascii="Arial" w:hAnsi="Arial" w:cs="Arial"/>
                <w:sz w:val="22"/>
                <w:szCs w:val="22"/>
                <w:lang w:eastAsia="ar-SA"/>
              </w:rPr>
            </w:pPr>
            <w:r w:rsidRPr="007D0FAF">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6CDE0191" w14:textId="77777777" w:rsidR="007D0FAF" w:rsidRPr="007D0FAF" w:rsidRDefault="007D0FAF" w:rsidP="007D0FAF">
            <w:pPr>
              <w:suppressAutoHyphens/>
              <w:jc w:val="both"/>
              <w:rPr>
                <w:rFonts w:ascii="Arial" w:hAnsi="Arial" w:cs="Arial"/>
                <w:sz w:val="22"/>
                <w:szCs w:val="22"/>
                <w:lang w:eastAsia="ar-SA"/>
              </w:rPr>
            </w:pPr>
            <w:r w:rsidRPr="007D0FAF">
              <w:rPr>
                <w:rFonts w:ascii="Arial" w:hAnsi="Arial" w:cs="Arial"/>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1BEEF8A3" w14:textId="77777777" w:rsidR="007D0FAF" w:rsidRPr="007D0FAF" w:rsidRDefault="007D0FAF" w:rsidP="007D0FAF">
            <w:pPr>
              <w:suppressAutoHyphens/>
              <w:jc w:val="both"/>
              <w:rPr>
                <w:rFonts w:ascii="Arial" w:hAnsi="Arial" w:cs="Arial"/>
                <w:sz w:val="22"/>
                <w:szCs w:val="22"/>
                <w:lang w:eastAsia="ar-SA"/>
              </w:rPr>
            </w:pPr>
          </w:p>
          <w:p w14:paraId="39C53A7D" w14:textId="77777777" w:rsidR="007D0FAF" w:rsidRPr="007D0FAF" w:rsidRDefault="007D0FAF" w:rsidP="007D0FAF">
            <w:pPr>
              <w:suppressAutoHyphens/>
              <w:jc w:val="both"/>
              <w:rPr>
                <w:rFonts w:ascii="Arial" w:hAnsi="Arial" w:cs="Arial"/>
                <w:sz w:val="22"/>
                <w:szCs w:val="22"/>
                <w:lang w:eastAsia="ar-SA"/>
              </w:rPr>
            </w:pPr>
            <w:r w:rsidRPr="007D0FAF">
              <w:rPr>
                <w:rFonts w:ascii="Arial" w:hAnsi="Arial" w:cs="Arial"/>
                <w:sz w:val="22"/>
                <w:szCs w:val="22"/>
                <w:lang w:eastAsia="ar-SA"/>
              </w:rPr>
              <w:t>- vodonepropusna sabirna jama izgrađena od PP ili PE koja je 100% vodonepropusna i/ili (TIP 2)</w:t>
            </w:r>
          </w:p>
          <w:p w14:paraId="5E61ACDE" w14:textId="77777777" w:rsidR="007D0FAF" w:rsidRPr="007D0FAF" w:rsidRDefault="007D0FAF" w:rsidP="007D0FAF">
            <w:pPr>
              <w:suppressAutoHyphens/>
              <w:jc w:val="both"/>
              <w:rPr>
                <w:rFonts w:ascii="Arial" w:hAnsi="Arial" w:cs="Arial"/>
                <w:sz w:val="22"/>
                <w:szCs w:val="22"/>
                <w:lang w:eastAsia="ar-SA"/>
              </w:rPr>
            </w:pPr>
          </w:p>
          <w:p w14:paraId="6431AA38" w14:textId="77777777" w:rsidR="007D0FAF" w:rsidRPr="007D0FAF" w:rsidRDefault="007D0FAF" w:rsidP="007D0FAF">
            <w:pPr>
              <w:suppressAutoHyphens/>
              <w:jc w:val="both"/>
              <w:rPr>
                <w:rFonts w:ascii="Arial" w:hAnsi="Arial" w:cs="Arial"/>
                <w:sz w:val="22"/>
                <w:szCs w:val="22"/>
                <w:lang w:eastAsia="ar-SA"/>
              </w:rPr>
            </w:pPr>
            <w:r w:rsidRPr="007D0FAF">
              <w:rPr>
                <w:rFonts w:ascii="Arial" w:hAnsi="Arial" w:cs="Arial"/>
                <w:sz w:val="22"/>
                <w:szCs w:val="22"/>
                <w:lang w:eastAsia="ar-SA"/>
              </w:rPr>
              <w:t>- mobilni sanitarni blok (TIP 3)</w:t>
            </w:r>
          </w:p>
          <w:p w14:paraId="605C23EC" w14:textId="77777777" w:rsidR="007D0FAF" w:rsidRPr="007D0FAF" w:rsidRDefault="007D0FAF" w:rsidP="007D0FAF">
            <w:pPr>
              <w:suppressAutoHyphens/>
              <w:jc w:val="both"/>
              <w:rPr>
                <w:rFonts w:ascii="Arial" w:hAnsi="Arial" w:cs="Arial"/>
                <w:sz w:val="22"/>
                <w:szCs w:val="22"/>
                <w:lang w:eastAsia="ar-SA"/>
              </w:rPr>
            </w:pPr>
          </w:p>
          <w:p w14:paraId="4640972B" w14:textId="49DAFF0F" w:rsidR="00C31459" w:rsidRDefault="007D0FAF" w:rsidP="007D0FAF">
            <w:pPr>
              <w:suppressAutoHyphens/>
              <w:jc w:val="both"/>
              <w:rPr>
                <w:rFonts w:ascii="Arial" w:hAnsi="Arial" w:cs="Arial"/>
                <w:sz w:val="22"/>
                <w:szCs w:val="22"/>
                <w:lang w:eastAsia="ar-SA"/>
              </w:rPr>
            </w:pPr>
            <w:r w:rsidRPr="007D0FAF">
              <w:rPr>
                <w:rFonts w:ascii="Arial" w:hAnsi="Arial" w:cs="Arial"/>
                <w:sz w:val="22"/>
                <w:szCs w:val="22"/>
                <w:lang w:eastAsia="ar-SA"/>
              </w:rPr>
              <w:t>Tehnička rješenja za tretman otpadnih voda iz postojećih i (novih)planiranih gradjevinskih objekata moraju biti usklađena sa zahtjevima iz Pravilnika o kvalitetu i sanitarno-tehničkim uslovima za ispuštanje otpadnih voda, načinu i postupku ispitivanja kvaliteta otpadnih voda i sadržaju izvještaja o utvrdjenom kvalitetu otpadnih voda („Sl. List CG“ br. 56/19)</w:t>
            </w:r>
          </w:p>
          <w:p w14:paraId="17844F5B" w14:textId="20720DE7" w:rsidR="00BE68C1" w:rsidRPr="00D14739" w:rsidRDefault="00BE68C1" w:rsidP="00D900E9">
            <w:pPr>
              <w:suppressAutoHyphens/>
              <w:jc w:val="both"/>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CF14157" w:rsidR="009000DD" w:rsidRPr="00D900E9" w:rsidRDefault="00425C72" w:rsidP="00D900E9">
            <w:pPr>
              <w:tabs>
                <w:tab w:val="left" w:pos="6915"/>
              </w:tabs>
              <w:jc w:val="both"/>
              <w:rPr>
                <w:rFonts w:ascii="Arial" w:hAnsi="Arial" w:cs="Arial"/>
                <w:b/>
                <w:bCs/>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D900E9" w:rsidRPr="00D900E9">
              <w:rPr>
                <w:rFonts w:ascii="Arial" w:hAnsi="Arial" w:cs="Arial"/>
                <w:b/>
                <w:bCs/>
                <w:sz w:val="22"/>
                <w:szCs w:val="22"/>
                <w:lang w:val="en-US"/>
              </w:rPr>
              <w:t>1163</w:t>
            </w:r>
            <w:r w:rsidR="00D900E9">
              <w:rPr>
                <w:rFonts w:ascii="Arial" w:hAnsi="Arial" w:cs="Arial"/>
                <w:b/>
                <w:bCs/>
                <w:sz w:val="22"/>
                <w:szCs w:val="22"/>
                <w:lang w:val="en-US"/>
              </w:rPr>
              <w:t xml:space="preserve"> </w:t>
            </w:r>
            <w:r w:rsidR="00D900E9" w:rsidRPr="00D900E9">
              <w:rPr>
                <w:rFonts w:ascii="Arial" w:hAnsi="Arial" w:cs="Arial"/>
                <w:b/>
                <w:bCs/>
                <w:sz w:val="22"/>
                <w:szCs w:val="22"/>
                <w:lang w:val="en-US"/>
              </w:rPr>
              <w:t xml:space="preserve">Gornji </w:t>
            </w:r>
            <w:proofErr w:type="spellStart"/>
            <w:r w:rsidR="00D900E9" w:rsidRPr="00D900E9">
              <w:rPr>
                <w:rFonts w:ascii="Arial" w:hAnsi="Arial" w:cs="Arial"/>
                <w:b/>
                <w:bCs/>
                <w:sz w:val="22"/>
                <w:szCs w:val="22"/>
                <w:lang w:val="en-US"/>
              </w:rPr>
              <w:t>Štoj</w:t>
            </w:r>
            <w:proofErr w:type="spellEnd"/>
            <w:r w:rsidR="00E17AF5">
              <w:rPr>
                <w:rFonts w:ascii="Arial" w:hAnsi="Arial" w:cs="Arial"/>
                <w:b/>
                <w:bCs/>
                <w:sz w:val="22"/>
                <w:szCs w:val="22"/>
                <w:lang w:val="en-US"/>
              </w:rPr>
              <w:t>,</w:t>
            </w:r>
            <w:r w:rsidR="00E17AF5" w:rsidRPr="00E17AF5">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r w:rsidR="00D900E9">
              <w:rPr>
                <w:rFonts w:ascii="Arial" w:hAnsi="Arial" w:cs="Arial"/>
                <w:b/>
                <w:bCs/>
                <w:sz w:val="22"/>
                <w:szCs w:val="22"/>
                <w:lang w:val="en-US"/>
              </w:rPr>
              <w:t>Ulcinj (DESNA STRANA RIJEKE BOJANE)</w:t>
            </w:r>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lastRenderedPageBreak/>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17844F83" w14:textId="502E083C" w:rsidR="00001EB3" w:rsidRPr="00D14739" w:rsidRDefault="00001EB3" w:rsidP="00D900E9">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487DD30E" w14:textId="77777777" w:rsidR="006B3D08" w:rsidRPr="006B3D08" w:rsidRDefault="006B3D08" w:rsidP="006B3D08">
            <w:pPr>
              <w:tabs>
                <w:tab w:val="left" w:pos="6915"/>
              </w:tabs>
              <w:jc w:val="both"/>
              <w:rPr>
                <w:rFonts w:ascii="Arial" w:hAnsi="Arial" w:cs="Arial"/>
                <w:sz w:val="22"/>
                <w:szCs w:val="22"/>
              </w:rPr>
            </w:pPr>
            <w:r w:rsidRPr="006B3D08">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43F573" w14:textId="1E169BA7" w:rsidR="00C70DF8" w:rsidRPr="00D14739" w:rsidRDefault="006B3D08" w:rsidP="006B3D08">
            <w:pPr>
              <w:tabs>
                <w:tab w:val="left" w:pos="6915"/>
              </w:tabs>
              <w:jc w:val="both"/>
              <w:rPr>
                <w:rFonts w:ascii="Arial" w:hAnsi="Arial" w:cs="Arial"/>
                <w:sz w:val="22"/>
                <w:szCs w:val="22"/>
              </w:rPr>
            </w:pPr>
            <w:r w:rsidRPr="006B3D08">
              <w:rPr>
                <w:rFonts w:ascii="Arial" w:hAnsi="Arial" w:cs="Arial"/>
                <w:sz w:val="22"/>
                <w:szCs w:val="22"/>
              </w:rPr>
              <w:t>• neophodno je predvidjeti uklanjanje svih montažnih toaleta nakon završetka sezone;</w:t>
            </w:r>
          </w:p>
          <w:p w14:paraId="17844F91" w14:textId="656F2AD8"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0A81DFC4"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D900E9">
              <w:rPr>
                <w:rFonts w:ascii="Arial" w:hAnsi="Arial" w:cs="Arial"/>
                <w:bCs/>
                <w:sz w:val="22"/>
                <w:szCs w:val="22"/>
              </w:rPr>
              <w:t xml:space="preserve"> i nakon toga raditi i revidovani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4F580A60"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D900E9">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E17AF5">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70695DCC"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E17AF5">
              <w:rPr>
                <w:rFonts w:ascii="Arial" w:hAnsi="Arial" w:cs="Arial"/>
                <w:b/>
                <w:bCs/>
                <w:sz w:val="22"/>
                <w:szCs w:val="22"/>
              </w:rPr>
              <w:t xml:space="preserve">      </w:t>
            </w:r>
            <w:r w:rsidRPr="00D14739">
              <w:rPr>
                <w:rFonts w:ascii="Arial" w:hAnsi="Arial" w:cs="Arial"/>
                <w:b/>
                <w:bCs/>
                <w:sz w:val="22"/>
                <w:szCs w:val="22"/>
              </w:rPr>
              <w:t>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5C85443C"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F340E" w14:textId="77777777" w:rsidR="003A5463" w:rsidRDefault="003A5463" w:rsidP="0016116A">
      <w:pPr>
        <w:spacing w:after="0" w:line="240" w:lineRule="auto"/>
      </w:pPr>
      <w:r>
        <w:separator/>
      </w:r>
    </w:p>
  </w:endnote>
  <w:endnote w:type="continuationSeparator" w:id="0">
    <w:p w14:paraId="7E771AF4" w14:textId="77777777" w:rsidR="003A5463" w:rsidRDefault="003A546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CEDB5" w14:textId="77777777" w:rsidR="003A5463" w:rsidRDefault="003A5463" w:rsidP="0016116A">
      <w:pPr>
        <w:spacing w:after="0" w:line="240" w:lineRule="auto"/>
      </w:pPr>
      <w:r>
        <w:separator/>
      </w:r>
    </w:p>
  </w:footnote>
  <w:footnote w:type="continuationSeparator" w:id="0">
    <w:p w14:paraId="23F5A463" w14:textId="77777777" w:rsidR="003A5463" w:rsidRDefault="003A546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D5E11"/>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4C5E"/>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1577E"/>
    <w:rsid w:val="003410F0"/>
    <w:rsid w:val="00345551"/>
    <w:rsid w:val="00350E83"/>
    <w:rsid w:val="003610B5"/>
    <w:rsid w:val="003770BA"/>
    <w:rsid w:val="00377CC8"/>
    <w:rsid w:val="003857D4"/>
    <w:rsid w:val="00392A78"/>
    <w:rsid w:val="003A4FAE"/>
    <w:rsid w:val="003A5463"/>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1428"/>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11AE"/>
    <w:rsid w:val="0069226C"/>
    <w:rsid w:val="006A5089"/>
    <w:rsid w:val="006B3D08"/>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0FAF"/>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82A86"/>
    <w:rsid w:val="009A5003"/>
    <w:rsid w:val="009B447C"/>
    <w:rsid w:val="009B6699"/>
    <w:rsid w:val="009C497B"/>
    <w:rsid w:val="009D0BE9"/>
    <w:rsid w:val="009E15F6"/>
    <w:rsid w:val="009E328D"/>
    <w:rsid w:val="009F6019"/>
    <w:rsid w:val="00A078E7"/>
    <w:rsid w:val="00A17A2B"/>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1459"/>
    <w:rsid w:val="00C32740"/>
    <w:rsid w:val="00C3585C"/>
    <w:rsid w:val="00C42984"/>
    <w:rsid w:val="00C4689A"/>
    <w:rsid w:val="00C530D0"/>
    <w:rsid w:val="00C539FA"/>
    <w:rsid w:val="00C65E37"/>
    <w:rsid w:val="00C664AB"/>
    <w:rsid w:val="00C70DF8"/>
    <w:rsid w:val="00C7478B"/>
    <w:rsid w:val="00C80838"/>
    <w:rsid w:val="00C97090"/>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0E9"/>
    <w:rsid w:val="00D90125"/>
    <w:rsid w:val="00D96993"/>
    <w:rsid w:val="00DB032D"/>
    <w:rsid w:val="00DB27EC"/>
    <w:rsid w:val="00DB2CDF"/>
    <w:rsid w:val="00DB347E"/>
    <w:rsid w:val="00DC0ACF"/>
    <w:rsid w:val="00DD7E0D"/>
    <w:rsid w:val="00DE19A2"/>
    <w:rsid w:val="00DE64A6"/>
    <w:rsid w:val="00DF43EA"/>
    <w:rsid w:val="00E17461"/>
    <w:rsid w:val="00E177D5"/>
    <w:rsid w:val="00E17AF5"/>
    <w:rsid w:val="00E17D82"/>
    <w:rsid w:val="00E2350F"/>
    <w:rsid w:val="00E3078E"/>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0185"/>
    <w:rsid w:val="00F04485"/>
    <w:rsid w:val="00F0592E"/>
    <w:rsid w:val="00F072AC"/>
    <w:rsid w:val="00F14D61"/>
    <w:rsid w:val="00F17143"/>
    <w:rsid w:val="00F228D5"/>
    <w:rsid w:val="00F259B7"/>
    <w:rsid w:val="00F420C3"/>
    <w:rsid w:val="00F43075"/>
    <w:rsid w:val="00F467B7"/>
    <w:rsid w:val="00F52761"/>
    <w:rsid w:val="00F6565C"/>
    <w:rsid w:val="00F7060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6</cp:revision>
  <cp:lastPrinted>2018-12-17T12:56:00Z</cp:lastPrinted>
  <dcterms:created xsi:type="dcterms:W3CDTF">2025-03-01T10:55:00Z</dcterms:created>
  <dcterms:modified xsi:type="dcterms:W3CDTF">2025-03-01T11:58:00Z</dcterms:modified>
</cp:coreProperties>
</file>